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EA9" w:rsidRPr="00147936" w:rsidRDefault="0041468E">
      <w:pPr>
        <w:pStyle w:val="Heading1"/>
        <w:rPr>
          <w:rFonts w:ascii="Times New Roman" w:hAnsi="Times New Roman"/>
          <w:color w:val="auto"/>
          <w:sz w:val="48"/>
        </w:rPr>
      </w:pPr>
      <w:r w:rsidRPr="00147936">
        <w:rPr>
          <w:rFonts w:ascii="Times New Roman" w:hAnsi="Times New Roman"/>
          <w:color w:val="auto"/>
          <w:sz w:val="48"/>
        </w:rPr>
        <w:t>J</w:t>
      </w:r>
      <w:r w:rsidR="00E46ECB" w:rsidRPr="00147936">
        <w:rPr>
          <w:rFonts w:ascii="Times New Roman" w:hAnsi="Times New Roman"/>
          <w:color w:val="auto"/>
          <w:sz w:val="48"/>
        </w:rPr>
        <w:t>é</w:t>
      </w:r>
      <w:r w:rsidRPr="00147936">
        <w:rPr>
          <w:rFonts w:ascii="Times New Roman" w:hAnsi="Times New Roman"/>
          <w:color w:val="auto"/>
          <w:sz w:val="48"/>
        </w:rPr>
        <w:t>sus—</w:t>
      </w:r>
      <w:r w:rsidR="008A08FA" w:rsidRPr="00147936">
        <w:rPr>
          <w:rFonts w:ascii="Times New Roman" w:hAnsi="Times New Roman"/>
          <w:color w:val="auto"/>
          <w:sz w:val="48"/>
        </w:rPr>
        <w:t>s</w:t>
      </w:r>
      <w:r w:rsidR="00E46ECB" w:rsidRPr="00147936">
        <w:rPr>
          <w:rFonts w:ascii="Times New Roman" w:hAnsi="Times New Roman"/>
          <w:color w:val="auto"/>
          <w:sz w:val="48"/>
        </w:rPr>
        <w:t>a vie et son m</w:t>
      </w:r>
      <w:r w:rsidR="00F95174" w:rsidRPr="00147936">
        <w:rPr>
          <w:rFonts w:ascii="Times New Roman" w:hAnsi="Times New Roman"/>
          <w:color w:val="auto"/>
          <w:sz w:val="48"/>
        </w:rPr>
        <w:t>e</w:t>
      </w:r>
      <w:r w:rsidR="00E46ECB" w:rsidRPr="00147936">
        <w:rPr>
          <w:rFonts w:ascii="Times New Roman" w:hAnsi="Times New Roman"/>
          <w:color w:val="auto"/>
          <w:sz w:val="48"/>
        </w:rPr>
        <w:t>ssage: La naissance de Jésus (1</w:t>
      </w:r>
      <w:r w:rsidR="00E46ECB" w:rsidRPr="00147936">
        <w:rPr>
          <w:rFonts w:ascii="Times New Roman" w:hAnsi="Times New Roman"/>
          <w:color w:val="auto"/>
          <w:sz w:val="48"/>
          <w:vertAlign w:val="superscript"/>
        </w:rPr>
        <w:t>ère</w:t>
      </w:r>
      <w:r w:rsidR="00E46ECB" w:rsidRPr="00147936">
        <w:rPr>
          <w:rFonts w:ascii="Times New Roman" w:hAnsi="Times New Roman"/>
          <w:color w:val="auto"/>
          <w:sz w:val="48"/>
        </w:rPr>
        <w:t xml:space="preserve"> p</w:t>
      </w:r>
      <w:r w:rsidRPr="00147936">
        <w:rPr>
          <w:rFonts w:ascii="Times New Roman" w:hAnsi="Times New Roman"/>
          <w:color w:val="auto"/>
          <w:sz w:val="48"/>
        </w:rPr>
        <w:t>art</w:t>
      </w:r>
      <w:r w:rsidR="00E46ECB" w:rsidRPr="00147936">
        <w:rPr>
          <w:rFonts w:ascii="Times New Roman" w:hAnsi="Times New Roman"/>
          <w:color w:val="auto"/>
          <w:sz w:val="48"/>
        </w:rPr>
        <w:t>ie</w:t>
      </w:r>
      <w:r w:rsidRPr="00147936">
        <w:rPr>
          <w:rFonts w:ascii="Times New Roman" w:hAnsi="Times New Roman"/>
          <w:color w:val="auto"/>
          <w:sz w:val="48"/>
        </w:rPr>
        <w:t>)</w:t>
      </w:r>
    </w:p>
    <w:p w:rsidR="00C40EA9" w:rsidRPr="00147936" w:rsidRDefault="00E46ECB">
      <w:pPr>
        <w:pStyle w:val="NormalWeb"/>
        <w:rPr>
          <w:b/>
        </w:rPr>
      </w:pPr>
      <w:r w:rsidRPr="00147936">
        <w:rPr>
          <w:b/>
        </w:rPr>
        <w:t>Par</w:t>
      </w:r>
      <w:r w:rsidR="0041468E" w:rsidRPr="00147936">
        <w:rPr>
          <w:b/>
        </w:rPr>
        <w:t xml:space="preserve"> Peter Amsterdam</w:t>
      </w:r>
    </w:p>
    <w:p w:rsidR="00C40EA9" w:rsidRPr="00147936" w:rsidRDefault="00E46ECB">
      <w:pPr>
        <w:pStyle w:val="NormalWeb"/>
        <w:rPr>
          <w:sz w:val="22"/>
        </w:rPr>
      </w:pPr>
      <w:r w:rsidRPr="00147936">
        <w:rPr>
          <w:sz w:val="22"/>
        </w:rPr>
        <w:t>[Mis en ligne en anglais le 2 dé</w:t>
      </w:r>
      <w:r w:rsidR="0041468E" w:rsidRPr="00147936">
        <w:rPr>
          <w:sz w:val="22"/>
        </w:rPr>
        <w:t>cembr</w:t>
      </w:r>
      <w:r w:rsidRPr="00147936">
        <w:rPr>
          <w:sz w:val="22"/>
        </w:rPr>
        <w:t>e</w:t>
      </w:r>
      <w:r w:rsidR="0041468E" w:rsidRPr="00147936">
        <w:rPr>
          <w:sz w:val="22"/>
        </w:rPr>
        <w:t xml:space="preserve"> 2014</w:t>
      </w:r>
      <w:r w:rsidRPr="00147936">
        <w:rPr>
          <w:sz w:val="22"/>
        </w:rPr>
        <w:t>]</w:t>
      </w:r>
    </w:p>
    <w:p w:rsidR="00E9735C" w:rsidRPr="00147936" w:rsidRDefault="00E9735C">
      <w:pPr>
        <w:pStyle w:val="NormalWeb"/>
      </w:pPr>
      <w:r w:rsidRPr="00147936">
        <w:t>L’histoire de la vie de Jésus commence avec le récit de sa naissance telle qu’elle est rapportée dan</w:t>
      </w:r>
      <w:r w:rsidR="00621B0B" w:rsidRPr="00147936">
        <w:t xml:space="preserve">s </w:t>
      </w:r>
      <w:r w:rsidRPr="00147936">
        <w:t xml:space="preserve">les Evangiles de </w:t>
      </w:r>
      <w:r w:rsidR="00F60357" w:rsidRPr="00147936">
        <w:t>Matthieu</w:t>
      </w:r>
      <w:r w:rsidR="0041468E" w:rsidRPr="00147936">
        <w:t xml:space="preserve"> </w:t>
      </w:r>
      <w:r w:rsidRPr="00147936">
        <w:t xml:space="preserve">et de </w:t>
      </w:r>
      <w:r w:rsidR="00F60357" w:rsidRPr="00147936">
        <w:t>Luc</w:t>
      </w:r>
      <w:r w:rsidR="0041468E" w:rsidRPr="00147936">
        <w:t xml:space="preserve">, </w:t>
      </w:r>
      <w:r w:rsidRPr="00147936">
        <w:t>mais d’une certaine manière</w:t>
      </w:r>
      <w:r w:rsidR="003E5BF7" w:rsidRPr="00147936">
        <w:t>,</w:t>
      </w:r>
      <w:r w:rsidRPr="00147936">
        <w:t xml:space="preserve"> elle avait commencé bien</w:t>
      </w:r>
      <w:r w:rsidR="003E5BF7" w:rsidRPr="00147936">
        <w:t xml:space="preserve"> avant,</w:t>
      </w:r>
      <w:r w:rsidRPr="00147936">
        <w:t xml:space="preserve"> puisque l’Ancien Testament avait prédit sa venue à mainte</w:t>
      </w:r>
      <w:r w:rsidR="003E5BF7" w:rsidRPr="00147936">
        <w:t>s</w:t>
      </w:r>
      <w:r w:rsidRPr="00147936">
        <w:t xml:space="preserve"> reprise</w:t>
      </w:r>
      <w:r w:rsidR="003E5BF7" w:rsidRPr="00147936">
        <w:t>s</w:t>
      </w:r>
      <w:r w:rsidRPr="00147936">
        <w:t xml:space="preserve">, en nous révélant une foule de détails </w:t>
      </w:r>
      <w:r w:rsidR="00E52D5F">
        <w:t>sur</w:t>
      </w:r>
      <w:r w:rsidRPr="00147936">
        <w:t xml:space="preserve"> le Messie, le Sauveur promis par Dieu. </w:t>
      </w:r>
      <w:r w:rsidR="0041468E" w:rsidRPr="00147936">
        <w:t xml:space="preserve"> </w:t>
      </w:r>
    </w:p>
    <w:p w:rsidR="00C40EA9" w:rsidRPr="00147936" w:rsidRDefault="00666CDB">
      <w:pPr>
        <w:pStyle w:val="NormalWeb"/>
      </w:pPr>
      <w:r w:rsidRPr="00147936">
        <w:t xml:space="preserve">L’Ancien Testament contient de </w:t>
      </w:r>
      <w:r w:rsidR="00A15DD1" w:rsidRPr="00147936">
        <w:t xml:space="preserve">nombreuses </w:t>
      </w:r>
      <w:r w:rsidR="0041468E" w:rsidRPr="00147936">
        <w:t>proph</w:t>
      </w:r>
      <w:r w:rsidR="00A15DD1" w:rsidRPr="00147936">
        <w:t>ét</w:t>
      </w:r>
      <w:r w:rsidR="0041468E" w:rsidRPr="00147936">
        <w:t xml:space="preserve">ies </w:t>
      </w:r>
      <w:r w:rsidR="00A15DD1" w:rsidRPr="00147936">
        <w:t xml:space="preserve">anciennes sur sa vie et sa mort, y compris des </w:t>
      </w:r>
      <w:r w:rsidR="0041468E" w:rsidRPr="00147936">
        <w:t>pr</w:t>
      </w:r>
      <w:r w:rsidR="00A15DD1" w:rsidRPr="00147936">
        <w:t>é</w:t>
      </w:r>
      <w:r w:rsidR="0041468E" w:rsidRPr="00147936">
        <w:t xml:space="preserve">dictions </w:t>
      </w:r>
      <w:r w:rsidR="00A15DD1" w:rsidRPr="00147936">
        <w:t>selon</w:t>
      </w:r>
      <w:r w:rsidR="00577656" w:rsidRPr="00147936">
        <w:t xml:space="preserve"> </w:t>
      </w:r>
      <w:r w:rsidR="00A15DD1" w:rsidRPr="00147936">
        <w:t xml:space="preserve">lesquelles Il naîtrait à </w:t>
      </w:r>
      <w:r w:rsidR="001F3335" w:rsidRPr="00147936">
        <w:t>Bethléem</w:t>
      </w:r>
      <w:r w:rsidR="0041468E" w:rsidRPr="00147936">
        <w:t>,</w:t>
      </w:r>
      <w:r w:rsidR="00F147EF" w:rsidRPr="00147936">
        <w:rPr>
          <w:rStyle w:val="EndnoteReference"/>
        </w:rPr>
        <w:endnoteReference w:id="1"/>
      </w:r>
      <w:r w:rsidR="0041468E" w:rsidRPr="00147936">
        <w:t xml:space="preserve"> </w:t>
      </w:r>
      <w:r w:rsidR="00C3299C" w:rsidRPr="00147936">
        <w:t>serait issu de la lignée d’</w:t>
      </w:r>
      <w:r w:rsidR="0041468E" w:rsidRPr="00147936">
        <w:t>Abraham,</w:t>
      </w:r>
      <w:r w:rsidR="00F147EF" w:rsidRPr="00147936">
        <w:rPr>
          <w:rStyle w:val="EndnoteReference"/>
        </w:rPr>
        <w:endnoteReference w:id="2"/>
      </w:r>
      <w:r w:rsidR="0041468E" w:rsidRPr="00147936">
        <w:t xml:space="preserve"> </w:t>
      </w:r>
      <w:r w:rsidR="00C3299C" w:rsidRPr="00147936">
        <w:t xml:space="preserve">un </w:t>
      </w:r>
      <w:r w:rsidR="0041468E" w:rsidRPr="00147936">
        <w:t>descend</w:t>
      </w:r>
      <w:r w:rsidR="00C3299C" w:rsidRPr="00147936">
        <w:t>a</w:t>
      </w:r>
      <w:r w:rsidR="0041468E" w:rsidRPr="00147936">
        <w:t xml:space="preserve">nt </w:t>
      </w:r>
      <w:r w:rsidR="00C3299C" w:rsidRPr="00147936">
        <w:t>d’</w:t>
      </w:r>
      <w:r w:rsidR="0041468E" w:rsidRPr="00147936">
        <w:t>Isaac</w:t>
      </w:r>
      <w:r w:rsidR="00BA1426" w:rsidRPr="00147936">
        <w:rPr>
          <w:rStyle w:val="EndnoteReference"/>
        </w:rPr>
        <w:endnoteReference w:id="3"/>
      </w:r>
      <w:r w:rsidR="0041468E" w:rsidRPr="00147936">
        <w:t xml:space="preserve"> </w:t>
      </w:r>
      <w:r w:rsidR="00C3299C" w:rsidRPr="00147936">
        <w:t xml:space="preserve">et de </w:t>
      </w:r>
      <w:r w:rsidR="0041468E" w:rsidRPr="00147936">
        <w:t>Jacob,</w:t>
      </w:r>
      <w:r w:rsidR="00BA1426" w:rsidRPr="00147936">
        <w:rPr>
          <w:rStyle w:val="EndnoteReference"/>
        </w:rPr>
        <w:endnoteReference w:id="4"/>
      </w:r>
      <w:r w:rsidR="0041468E" w:rsidRPr="00147936">
        <w:t xml:space="preserve"> </w:t>
      </w:r>
      <w:r w:rsidRPr="00147936">
        <w:t xml:space="preserve">de la tribu de </w:t>
      </w:r>
      <w:r w:rsidR="0041468E" w:rsidRPr="00147936">
        <w:t>Juda,</w:t>
      </w:r>
      <w:r w:rsidR="00BA1426" w:rsidRPr="00147936">
        <w:rPr>
          <w:rStyle w:val="EndnoteReference"/>
        </w:rPr>
        <w:endnoteReference w:id="5"/>
      </w:r>
      <w:r w:rsidR="0041468E" w:rsidRPr="00147936">
        <w:t xml:space="preserve"> h</w:t>
      </w:r>
      <w:r w:rsidRPr="00147936">
        <w:t xml:space="preserve">éritier du trône de </w:t>
      </w:r>
      <w:r w:rsidR="0041468E" w:rsidRPr="00147936">
        <w:t>David</w:t>
      </w:r>
      <w:r w:rsidR="00BA1426" w:rsidRPr="00147936">
        <w:rPr>
          <w:rStyle w:val="EndnoteReference"/>
        </w:rPr>
        <w:endnoteReference w:id="6"/>
      </w:r>
      <w:r w:rsidRPr="00147936">
        <w:t>, lequel trône serait éternel</w:t>
      </w:r>
      <w:r w:rsidR="00BA1426" w:rsidRPr="00147936">
        <w:rPr>
          <w:rStyle w:val="EndnoteReference"/>
        </w:rPr>
        <w:endnoteReference w:id="7"/>
      </w:r>
      <w:r w:rsidRPr="00147936">
        <w:t xml:space="preserve">, et qu’Il séjournerait en </w:t>
      </w:r>
      <w:r w:rsidR="0041468E" w:rsidRPr="00147936">
        <w:t>Egypt</w:t>
      </w:r>
      <w:r w:rsidRPr="00147936">
        <w:t>e</w:t>
      </w:r>
      <w:r w:rsidR="0041468E" w:rsidRPr="00147936">
        <w:t>.</w:t>
      </w:r>
      <w:r w:rsidR="00BA1426" w:rsidRPr="00147936">
        <w:rPr>
          <w:rStyle w:val="EndnoteReference"/>
        </w:rPr>
        <w:endnoteReference w:id="8"/>
      </w:r>
    </w:p>
    <w:p w:rsidR="00C40EA9" w:rsidRPr="00147936" w:rsidRDefault="00454470">
      <w:pPr>
        <w:pStyle w:val="NormalWeb"/>
      </w:pPr>
      <w:r w:rsidRPr="00147936">
        <w:t>Nous trouvons d</w:t>
      </w:r>
      <w:r w:rsidR="00577656" w:rsidRPr="00147936">
        <w:t xml:space="preserve">ans les Evangiles l’accomplissement des prédictions de l’Ancien Testament </w:t>
      </w:r>
      <w:r w:rsidRPr="00147936">
        <w:t xml:space="preserve">relatives à </w:t>
      </w:r>
      <w:r w:rsidR="00577656" w:rsidRPr="00147936">
        <w:t xml:space="preserve">la vie de Jésus, </w:t>
      </w:r>
      <w:r w:rsidRPr="00147936">
        <w:t xml:space="preserve">à </w:t>
      </w:r>
      <w:r w:rsidR="00577656" w:rsidRPr="00147936">
        <w:t xml:space="preserve">sa mort et </w:t>
      </w:r>
      <w:r w:rsidR="009C3382" w:rsidRPr="00147936">
        <w:t xml:space="preserve">à </w:t>
      </w:r>
      <w:r w:rsidR="00577656" w:rsidRPr="00147936">
        <w:t xml:space="preserve">sa résurrection, et </w:t>
      </w:r>
      <w:r w:rsidRPr="00147936">
        <w:t xml:space="preserve">au </w:t>
      </w:r>
      <w:r w:rsidR="00577656" w:rsidRPr="00147936">
        <w:t xml:space="preserve">salut qui en découle pour le monde. Matthieu consacre une portion importante de son Evangile </w:t>
      </w:r>
      <w:r w:rsidR="004A17B8" w:rsidRPr="00147936">
        <w:t xml:space="preserve">à montrer la concordance entre les prophéties de l’Ancien </w:t>
      </w:r>
      <w:r w:rsidR="0041468E" w:rsidRPr="00147936">
        <w:t xml:space="preserve">Testament </w:t>
      </w:r>
      <w:r w:rsidR="004A17B8" w:rsidRPr="00147936">
        <w:t xml:space="preserve">et leur accomplissement en </w:t>
      </w:r>
      <w:r w:rsidR="0041468E" w:rsidRPr="00147936">
        <w:t>J</w:t>
      </w:r>
      <w:r w:rsidR="004A17B8" w:rsidRPr="00147936">
        <w:t>é</w:t>
      </w:r>
      <w:r w:rsidR="0041468E" w:rsidRPr="00147936">
        <w:t xml:space="preserve">sus, </w:t>
      </w:r>
      <w:r w:rsidR="004A17B8" w:rsidRPr="00147936">
        <w:t>le Messie promis par Dieu.</w:t>
      </w:r>
      <w:r w:rsidR="002A34CE">
        <w:rPr>
          <w:rStyle w:val="EndnoteReference"/>
        </w:rPr>
        <w:endnoteReference w:id="9"/>
      </w:r>
      <w:r w:rsidR="004A17B8" w:rsidRPr="00147936">
        <w:t xml:space="preserve"> </w:t>
      </w:r>
    </w:p>
    <w:p w:rsidR="00C40EA9" w:rsidRPr="00147936" w:rsidRDefault="00031ECF">
      <w:pPr>
        <w:pStyle w:val="NormalWeb"/>
      </w:pPr>
      <w:r w:rsidRPr="00147936">
        <w:t xml:space="preserve">L’Evangile de </w:t>
      </w:r>
      <w:r w:rsidR="00F60357" w:rsidRPr="00147936">
        <w:t>Matthieu</w:t>
      </w:r>
      <w:r w:rsidR="0041468E" w:rsidRPr="00147936">
        <w:t xml:space="preserve"> </w:t>
      </w:r>
      <w:r w:rsidRPr="00147936">
        <w:t xml:space="preserve">débute par une généalogie </w:t>
      </w:r>
      <w:r w:rsidR="0041468E" w:rsidRPr="00147936">
        <w:t>abr</w:t>
      </w:r>
      <w:r w:rsidRPr="00147936">
        <w:t>égée</w:t>
      </w:r>
      <w:r w:rsidR="009C3382" w:rsidRPr="00147936">
        <w:t>,</w:t>
      </w:r>
      <w:r w:rsidR="0041468E" w:rsidRPr="00147936">
        <w:t xml:space="preserve"> </w:t>
      </w:r>
      <w:r w:rsidR="008A7A43">
        <w:t>ayant pour but de</w:t>
      </w:r>
      <w:r w:rsidRPr="00147936">
        <w:t xml:space="preserve"> prouver que Jésus avait </w:t>
      </w:r>
      <w:r w:rsidR="009C3382" w:rsidRPr="00147936">
        <w:t>re</w:t>
      </w:r>
      <w:r w:rsidRPr="00147936">
        <w:t xml:space="preserve">mpli les conditions généalogiques requises du Messie promis par Dieu. Sa </w:t>
      </w:r>
      <w:r w:rsidR="0041468E" w:rsidRPr="00147936">
        <w:t>g</w:t>
      </w:r>
      <w:r w:rsidRPr="00147936">
        <w:t>é</w:t>
      </w:r>
      <w:r w:rsidR="0041468E" w:rsidRPr="00147936">
        <w:t>n</w:t>
      </w:r>
      <w:r w:rsidRPr="00147936">
        <w:t>é</w:t>
      </w:r>
      <w:r w:rsidR="0041468E" w:rsidRPr="00147936">
        <w:t>alog</w:t>
      </w:r>
      <w:r w:rsidRPr="00147936">
        <w:t xml:space="preserve">ie commence avec </w:t>
      </w:r>
      <w:r w:rsidR="0041468E" w:rsidRPr="00147936">
        <w:t xml:space="preserve">Abraham, </w:t>
      </w:r>
      <w:r w:rsidRPr="00147936">
        <w:t>le père du peuple juif</w:t>
      </w:r>
      <w:r w:rsidR="0041468E" w:rsidRPr="00147936">
        <w:t xml:space="preserve">, </w:t>
      </w:r>
      <w:r w:rsidRPr="00147936">
        <w:t xml:space="preserve">et elle inclut les </w:t>
      </w:r>
      <w:r w:rsidR="0041468E" w:rsidRPr="00147936">
        <w:t>patriarch</w:t>
      </w:r>
      <w:r w:rsidRPr="00147936">
        <w:t>e</w:t>
      </w:r>
      <w:r w:rsidR="0041468E" w:rsidRPr="00147936">
        <w:t xml:space="preserve">s Isaac, Jacob </w:t>
      </w:r>
      <w:r w:rsidRPr="00147936">
        <w:t xml:space="preserve">et </w:t>
      </w:r>
      <w:r w:rsidR="0041468E" w:rsidRPr="00147936">
        <w:t xml:space="preserve">Juda, </w:t>
      </w:r>
      <w:r w:rsidRPr="00147936">
        <w:t xml:space="preserve">afin </w:t>
      </w:r>
      <w:r w:rsidR="00801964" w:rsidRPr="00147936">
        <w:t>d</w:t>
      </w:r>
      <w:r w:rsidRPr="00147936">
        <w:t xml:space="preserve">e mettre l’accent sur la judéité de </w:t>
      </w:r>
      <w:r w:rsidR="0041468E" w:rsidRPr="00147936">
        <w:t>J</w:t>
      </w:r>
      <w:r w:rsidRPr="00147936">
        <w:t>é</w:t>
      </w:r>
      <w:r w:rsidR="0041468E" w:rsidRPr="00147936">
        <w:t xml:space="preserve">sus. </w:t>
      </w:r>
      <w:r w:rsidR="00801964" w:rsidRPr="00147936">
        <w:t>Il se réfère à David en l’appelant le roi David, pour bien montrer que Jésus, issu de la lignée de David, était de sang royal et qu’</w:t>
      </w:r>
      <w:r w:rsidR="009C3382" w:rsidRPr="00147936">
        <w:t>I</w:t>
      </w:r>
      <w:r w:rsidR="00801964" w:rsidRPr="00147936">
        <w:t>l avait donc légitimement le droit d’être appelé « Roi des Juifs ».</w:t>
      </w:r>
      <w:r w:rsidR="00F373C0" w:rsidRPr="00147936">
        <w:rPr>
          <w:rStyle w:val="EndnoteReference"/>
        </w:rPr>
        <w:endnoteReference w:id="10"/>
      </w:r>
      <w:r w:rsidR="0041468E" w:rsidRPr="00147936">
        <w:t xml:space="preserve"> </w:t>
      </w:r>
      <w:r w:rsidR="00AF4D96" w:rsidRPr="00147936">
        <w:t xml:space="preserve">Son Evangile énumère les générations successives de descendants jusqu’à Joseph, l’époux de Marie, la mère de </w:t>
      </w:r>
      <w:r w:rsidR="001F3335" w:rsidRPr="00147936">
        <w:t>Jésus</w:t>
      </w:r>
      <w:r w:rsidR="0041468E" w:rsidRPr="00147936">
        <w:t>.</w:t>
      </w:r>
    </w:p>
    <w:p w:rsidR="00C40EA9" w:rsidRPr="00147936" w:rsidRDefault="00AF4D96">
      <w:pPr>
        <w:pStyle w:val="NormalWeb"/>
      </w:pPr>
      <w:r w:rsidRPr="00147936">
        <w:t>L’</w:t>
      </w:r>
      <w:r w:rsidR="0041468E" w:rsidRPr="00147936">
        <w:t>histori</w:t>
      </w:r>
      <w:r w:rsidRPr="00147936">
        <w:t>e</w:t>
      </w:r>
      <w:r w:rsidR="0041468E" w:rsidRPr="00147936">
        <w:t xml:space="preserve">n N. T. Wright </w:t>
      </w:r>
      <w:r w:rsidRPr="00147936">
        <w:t>écrit :</w:t>
      </w:r>
    </w:p>
    <w:p w:rsidR="00C40EA9" w:rsidRPr="00147936" w:rsidRDefault="00E06A3F">
      <w:pPr>
        <w:pStyle w:val="indent"/>
      </w:pPr>
      <w:r>
        <w:rPr>
          <w:rStyle w:val="Emphasis"/>
        </w:rPr>
        <w:t>S</w:t>
      </w:r>
      <w:r w:rsidRPr="00147936">
        <w:rPr>
          <w:rStyle w:val="Emphasis"/>
        </w:rPr>
        <w:t xml:space="preserve">’ils </w:t>
      </w:r>
      <w:r>
        <w:rPr>
          <w:rStyle w:val="Emphasis"/>
        </w:rPr>
        <w:t xml:space="preserve">devaient </w:t>
      </w:r>
      <w:r w:rsidRPr="00147936">
        <w:rPr>
          <w:rStyle w:val="Emphasis"/>
        </w:rPr>
        <w:t>racont</w:t>
      </w:r>
      <w:r>
        <w:rPr>
          <w:rStyle w:val="Emphasis"/>
        </w:rPr>
        <w:t>er</w:t>
      </w:r>
      <w:r w:rsidRPr="00147936">
        <w:rPr>
          <w:rStyle w:val="Emphasis"/>
        </w:rPr>
        <w:t xml:space="preserve"> l’histoire des générations d’Israël, </w:t>
      </w:r>
      <w:r>
        <w:rPr>
          <w:rStyle w:val="Emphasis"/>
        </w:rPr>
        <w:t>l</w:t>
      </w:r>
      <w:r w:rsidR="009C406A" w:rsidRPr="00147936">
        <w:rPr>
          <w:rStyle w:val="Emphasis"/>
        </w:rPr>
        <w:t xml:space="preserve">a plupart de </w:t>
      </w:r>
      <w:r w:rsidR="000B3B03" w:rsidRPr="00147936">
        <w:rPr>
          <w:rStyle w:val="Emphasis"/>
        </w:rPr>
        <w:t>J</w:t>
      </w:r>
      <w:r w:rsidR="009C406A" w:rsidRPr="00147936">
        <w:rPr>
          <w:rStyle w:val="Emphasis"/>
        </w:rPr>
        <w:t xml:space="preserve">uifs commenceraient </w:t>
      </w:r>
      <w:r w:rsidR="00EC7F05">
        <w:rPr>
          <w:rStyle w:val="Emphasis"/>
        </w:rPr>
        <w:t xml:space="preserve">à </w:t>
      </w:r>
      <w:r w:rsidR="009C406A" w:rsidRPr="00147936">
        <w:rPr>
          <w:rStyle w:val="Emphasis"/>
        </w:rPr>
        <w:t>par</w:t>
      </w:r>
      <w:r w:rsidR="00EC7F05">
        <w:rPr>
          <w:rStyle w:val="Emphasis"/>
        </w:rPr>
        <w:t>tir</w:t>
      </w:r>
      <w:r w:rsidR="009C406A" w:rsidRPr="00147936">
        <w:rPr>
          <w:rStyle w:val="Emphasis"/>
        </w:rPr>
        <w:t xml:space="preserve"> d’Abr</w:t>
      </w:r>
      <w:r w:rsidR="0041468E" w:rsidRPr="00147936">
        <w:rPr>
          <w:rStyle w:val="Emphasis"/>
        </w:rPr>
        <w:t xml:space="preserve">aham; </w:t>
      </w:r>
      <w:r w:rsidR="009C406A" w:rsidRPr="00147936">
        <w:rPr>
          <w:rStyle w:val="Emphasis"/>
        </w:rPr>
        <w:t xml:space="preserve">mais au premier siècle de notre ère, seule une poignée d’entre eux auraient pu retracer leur </w:t>
      </w:r>
      <w:r w:rsidR="00C369A0" w:rsidRPr="00147936">
        <w:rPr>
          <w:rStyle w:val="Emphasis"/>
        </w:rPr>
        <w:t xml:space="preserve">généalogie </w:t>
      </w:r>
      <w:r w:rsidR="009C406A" w:rsidRPr="00147936">
        <w:rPr>
          <w:rStyle w:val="Emphasis"/>
        </w:rPr>
        <w:t xml:space="preserve">à partir du roi David. Et </w:t>
      </w:r>
      <w:r w:rsidR="00FD32D8">
        <w:rPr>
          <w:rStyle w:val="Emphasis"/>
        </w:rPr>
        <w:t xml:space="preserve">ils auraient été </w:t>
      </w:r>
      <w:r w:rsidR="009C406A" w:rsidRPr="00147936">
        <w:rPr>
          <w:rStyle w:val="Emphasis"/>
        </w:rPr>
        <w:t xml:space="preserve">encore moins </w:t>
      </w:r>
      <w:r w:rsidR="00FD32D8">
        <w:rPr>
          <w:rStyle w:val="Emphasis"/>
        </w:rPr>
        <w:t xml:space="preserve">nombreux à pouvoir </w:t>
      </w:r>
      <w:r w:rsidR="009C406A" w:rsidRPr="00147936">
        <w:rPr>
          <w:rStyle w:val="Emphasis"/>
        </w:rPr>
        <w:t>le faire depuis Salomon et les rois du royaume de Juda qui se succéd</w:t>
      </w:r>
      <w:r w:rsidR="00FD32D8">
        <w:rPr>
          <w:rStyle w:val="Emphasis"/>
        </w:rPr>
        <w:t>èrent</w:t>
      </w:r>
      <w:r w:rsidR="009C406A" w:rsidRPr="00147936">
        <w:rPr>
          <w:rStyle w:val="Emphasis"/>
        </w:rPr>
        <w:t xml:space="preserve"> sur le trône jusqu’à l’époque de l’exil. Pendant la plus grande partie de l’histoire d’Israël après l’exil babylonien, Israël n’a pas eu de monarchie régnante.</w:t>
      </w:r>
      <w:r w:rsidR="0041468E" w:rsidRPr="00147936">
        <w:rPr>
          <w:rStyle w:val="Emphasis"/>
        </w:rPr>
        <w:t xml:space="preserve"> </w:t>
      </w:r>
      <w:r w:rsidR="00C369A0" w:rsidRPr="00147936">
        <w:rPr>
          <w:rStyle w:val="Emphasis"/>
        </w:rPr>
        <w:t>Les rois qui régnèrent au cours des deux siècles précédant la naissance de Jésus n’étaient pas de la lignée de David. Hérode le Grand n’était pas de sang royal, et il n’était même pas juif.</w:t>
      </w:r>
      <w:r w:rsidR="0041468E" w:rsidRPr="00147936">
        <w:rPr>
          <w:rStyle w:val="Emphasis"/>
        </w:rPr>
        <w:t xml:space="preserve"> … </w:t>
      </w:r>
      <w:r w:rsidR="00074176" w:rsidRPr="00147936">
        <w:rPr>
          <w:rStyle w:val="Emphasis"/>
        </w:rPr>
        <w:t xml:space="preserve">Ce que dit Matthieu, c’est que cette naissance, </w:t>
      </w:r>
      <w:r w:rsidR="0041468E" w:rsidRPr="00147936">
        <w:rPr>
          <w:rStyle w:val="Emphasis"/>
        </w:rPr>
        <w:t>Isra</w:t>
      </w:r>
      <w:r w:rsidR="00C369A0" w:rsidRPr="00147936">
        <w:rPr>
          <w:rStyle w:val="Emphasis"/>
        </w:rPr>
        <w:t>ë</w:t>
      </w:r>
      <w:r w:rsidR="0041468E" w:rsidRPr="00147936">
        <w:rPr>
          <w:rStyle w:val="Emphasis"/>
        </w:rPr>
        <w:t xml:space="preserve">l </w:t>
      </w:r>
      <w:r w:rsidR="00074176" w:rsidRPr="00147936">
        <w:rPr>
          <w:rStyle w:val="Emphasis"/>
        </w:rPr>
        <w:t>l’attend</w:t>
      </w:r>
      <w:r w:rsidR="00C369A0" w:rsidRPr="00147936">
        <w:rPr>
          <w:rStyle w:val="Emphasis"/>
        </w:rPr>
        <w:t>ait</w:t>
      </w:r>
      <w:r w:rsidR="00074176" w:rsidRPr="00147936">
        <w:rPr>
          <w:rStyle w:val="Emphasis"/>
        </w:rPr>
        <w:t xml:space="preserve"> depuis deux mille ans.</w:t>
      </w:r>
      <w:r w:rsidR="0042716A" w:rsidRPr="00147936">
        <w:rPr>
          <w:rStyle w:val="EndnoteReference"/>
        </w:rPr>
        <w:endnoteReference w:id="11"/>
      </w:r>
    </w:p>
    <w:p w:rsidR="00C40EA9" w:rsidRPr="00147936" w:rsidRDefault="00B16DC6">
      <w:pPr>
        <w:pStyle w:val="NormalWeb"/>
      </w:pPr>
      <w:r w:rsidRPr="00147936">
        <w:t xml:space="preserve">La généalogie de </w:t>
      </w:r>
      <w:r w:rsidR="00F60357" w:rsidRPr="00147936">
        <w:t>Matthieu</w:t>
      </w:r>
      <w:r w:rsidRPr="00147936">
        <w:t xml:space="preserve"> inclut quatre femmes, ce qui est tout </w:t>
      </w:r>
      <w:r w:rsidR="00080058" w:rsidRPr="00147936">
        <w:t>à</w:t>
      </w:r>
      <w:r w:rsidRPr="00147936">
        <w:t xml:space="preserve"> fait inhabituel </w:t>
      </w:r>
      <w:r w:rsidR="00095228">
        <w:t xml:space="preserve">pour </w:t>
      </w:r>
      <w:r w:rsidRPr="00147936">
        <w:t xml:space="preserve">une généalogie biblique. Trois d’entre elles – Tamar, Rahab et Ruth, n’étaient pas d’origine juive, et Bath–Shéba avait été l’épouse d’un Hittite, un non-juif. </w:t>
      </w:r>
      <w:r w:rsidR="0041468E" w:rsidRPr="00147936">
        <w:t>T</w:t>
      </w:r>
      <w:r w:rsidRPr="00147936">
        <w:t xml:space="preserve">rois d’entre elles avaient une réputation douteuse du fait d’antécédents et de relations qui sortaient quelque peu de </w:t>
      </w:r>
      <w:r w:rsidRPr="00147936">
        <w:lastRenderedPageBreak/>
        <w:t>l’ordinaire.</w:t>
      </w:r>
      <w:r w:rsidR="004D0C9F" w:rsidRPr="00147936">
        <w:rPr>
          <w:rStyle w:val="EndnoteReference"/>
        </w:rPr>
        <w:endnoteReference w:id="12"/>
      </w:r>
      <w:r w:rsidR="0041468E" w:rsidRPr="00147936">
        <w:t xml:space="preserve"> </w:t>
      </w:r>
      <w:r w:rsidRPr="00147936">
        <w:t xml:space="preserve">En incluant ces femmes, en particulier </w:t>
      </w:r>
      <w:r w:rsidR="0041468E" w:rsidRPr="00147936">
        <w:t xml:space="preserve">Tamar, Rahab </w:t>
      </w:r>
      <w:r w:rsidRPr="00147936">
        <w:t>et</w:t>
      </w:r>
      <w:r w:rsidR="0041468E" w:rsidRPr="00147936">
        <w:t xml:space="preserve"> Ruth, </w:t>
      </w:r>
      <w:r w:rsidR="00080058" w:rsidRPr="00147936">
        <w:t xml:space="preserve">qui n’étaient pas d’origine juive, </w:t>
      </w:r>
      <w:r w:rsidR="00F60357" w:rsidRPr="00147936">
        <w:t>Matthieu</w:t>
      </w:r>
      <w:r w:rsidR="0041468E" w:rsidRPr="00147936">
        <w:t xml:space="preserve"> </w:t>
      </w:r>
      <w:r w:rsidR="00080058" w:rsidRPr="00147936">
        <w:t xml:space="preserve">insiste sur le fait que </w:t>
      </w:r>
      <w:r w:rsidR="0041468E" w:rsidRPr="00147936">
        <w:t>J</w:t>
      </w:r>
      <w:r w:rsidR="00080058" w:rsidRPr="00147936">
        <w:t>é</w:t>
      </w:r>
      <w:r w:rsidR="0041468E" w:rsidRPr="00147936">
        <w:t xml:space="preserve">sus </w:t>
      </w:r>
      <w:r w:rsidR="00080058" w:rsidRPr="00147936">
        <w:t xml:space="preserve">est le sauveur de </w:t>
      </w:r>
      <w:r w:rsidR="00080058" w:rsidRPr="00147936">
        <w:rPr>
          <w:i/>
        </w:rPr>
        <w:t>tous</w:t>
      </w:r>
      <w:r w:rsidR="00080058" w:rsidRPr="00147936">
        <w:t xml:space="preserve"> les hommes, et pas </w:t>
      </w:r>
      <w:r w:rsidR="00095228">
        <w:t>uniquement</w:t>
      </w:r>
      <w:r w:rsidR="00080058" w:rsidRPr="00147936">
        <w:t xml:space="preserve"> des Juifs. Jésus et le salut sont pour les pécheurs tout autant que pour les saints</w:t>
      </w:r>
      <w:r w:rsidR="0041468E" w:rsidRPr="00147936">
        <w:t>.</w:t>
      </w:r>
      <w:r w:rsidR="00C11BC4" w:rsidRPr="00147936">
        <w:rPr>
          <w:rStyle w:val="EndnoteReference"/>
        </w:rPr>
        <w:endnoteReference w:id="13"/>
      </w:r>
      <w:r w:rsidR="0041468E" w:rsidRPr="00147936">
        <w:t xml:space="preserve"> </w:t>
      </w:r>
      <w:r w:rsidR="00080058" w:rsidRPr="00147936">
        <w:t>Il se peut aussi qu’il les ait incluses</w:t>
      </w:r>
      <w:r w:rsidR="0041468E" w:rsidRPr="00147936">
        <w:t xml:space="preserve"> </w:t>
      </w:r>
      <w:r w:rsidR="00080058" w:rsidRPr="00147936">
        <w:t>à cause des circonstances exceptionnelles entourant la grossesse de Marie, pour montrer que ce n’était pas la première fois que la lignée de David s’était transmise d’une manière p</w:t>
      </w:r>
      <w:r w:rsidR="00D66749">
        <w:t>eu</w:t>
      </w:r>
      <w:r w:rsidR="00080058" w:rsidRPr="00147936">
        <w:t xml:space="preserve"> orthodoxe.</w:t>
      </w:r>
    </w:p>
    <w:p w:rsidR="00C40EA9" w:rsidRPr="00147936" w:rsidRDefault="00F60357">
      <w:pPr>
        <w:pStyle w:val="NormalWeb"/>
      </w:pPr>
      <w:r w:rsidRPr="00147936">
        <w:t>Luc</w:t>
      </w:r>
      <w:r w:rsidR="0041468E" w:rsidRPr="00147936">
        <w:t xml:space="preserve"> inclu</w:t>
      </w:r>
      <w:r w:rsidR="004375B2" w:rsidRPr="00147936">
        <w:t xml:space="preserve">t lui aussi une </w:t>
      </w:r>
      <w:r w:rsidR="0041468E" w:rsidRPr="00147936">
        <w:t>g</w:t>
      </w:r>
      <w:r w:rsidR="004375B2" w:rsidRPr="00147936">
        <w:t>énéalogie dans son Evangile, mais au lieu de retracer la ligne généalogique de Jésus jusqu’à Abraham, comme le fait Ma</w:t>
      </w:r>
      <w:r w:rsidRPr="00147936">
        <w:t>tthieu</w:t>
      </w:r>
      <w:r w:rsidR="004375B2" w:rsidRPr="00147936">
        <w:t xml:space="preserve">, il remonte jusqu’au premier homme, </w:t>
      </w:r>
      <w:r w:rsidR="0041468E" w:rsidRPr="00147936">
        <w:t>Adam</w:t>
      </w:r>
      <w:r w:rsidR="004375B2" w:rsidRPr="00147936">
        <w:t xml:space="preserve">, et de là jusqu’à Dieu Lui-même. </w:t>
      </w:r>
      <w:r w:rsidR="005950DC" w:rsidRPr="00147936">
        <w:t xml:space="preserve">Sa liste s’achève par </w:t>
      </w:r>
      <w:r w:rsidR="009D60AE" w:rsidRPr="00147936">
        <w:rPr>
          <w:rStyle w:val="Emphasis"/>
        </w:rPr>
        <w:t>le</w:t>
      </w:r>
      <w:r w:rsidR="0041468E" w:rsidRPr="00147936">
        <w:rPr>
          <w:rStyle w:val="Emphasis"/>
        </w:rPr>
        <w:t xml:space="preserve"> </w:t>
      </w:r>
      <w:r w:rsidR="005950DC" w:rsidRPr="00147936">
        <w:rPr>
          <w:rStyle w:val="Emphasis"/>
        </w:rPr>
        <w:t>fils d’Énos, fils de Seth, fils d’Adam, fils de Dieu.</w:t>
      </w:r>
      <w:r w:rsidR="007D1B1D" w:rsidRPr="00147936">
        <w:rPr>
          <w:rStyle w:val="EndnoteReference"/>
        </w:rPr>
        <w:endnoteReference w:id="14"/>
      </w:r>
      <w:r w:rsidR="0041468E" w:rsidRPr="00147936">
        <w:t xml:space="preserve"> </w:t>
      </w:r>
      <w:r w:rsidR="004375B2" w:rsidRPr="00147936">
        <w:t>Sa généalogie ne précède pas le récit de la naissance de Jésus, comme le fait Matthieu dans son Evangile, mais il la place immédiatement après s</w:t>
      </w:r>
      <w:r w:rsidR="009D60AE" w:rsidRPr="00147936">
        <w:t>on récit</w:t>
      </w:r>
      <w:r w:rsidR="004375B2" w:rsidRPr="00147936">
        <w:t xml:space="preserve"> du baptême de Jésus, lorsque </w:t>
      </w:r>
      <w:r w:rsidR="003761D4" w:rsidRPr="00147936">
        <w:t>l</w:t>
      </w:r>
      <w:r w:rsidR="004375B2" w:rsidRPr="00147936">
        <w:t>e Saint-Esprit descend sur Lui et qu’une voix venue du Ciel proclame: « </w:t>
      </w:r>
      <w:r w:rsidR="00342139" w:rsidRPr="00147936">
        <w:rPr>
          <w:rStyle w:val="Emphasis"/>
        </w:rPr>
        <w:t>Tu es mon Fils bien–aimé</w:t>
      </w:r>
      <w:r w:rsidR="004375B2" w:rsidRPr="00147936">
        <w:rPr>
          <w:rStyle w:val="Emphasis"/>
        </w:rPr>
        <w:t>. </w:t>
      </w:r>
      <w:r w:rsidR="00342139" w:rsidRPr="00147936">
        <w:rPr>
          <w:rStyle w:val="Emphasis"/>
        </w:rPr>
        <w:t>Tu fais toute ma joie</w:t>
      </w:r>
      <w:r w:rsidR="004375B2" w:rsidRPr="00147936">
        <w:rPr>
          <w:rStyle w:val="Emphasis"/>
        </w:rPr>
        <w:t>. »</w:t>
      </w:r>
      <w:r w:rsidR="004B4D94" w:rsidRPr="00147936">
        <w:rPr>
          <w:rStyle w:val="EndnoteReference"/>
        </w:rPr>
        <w:endnoteReference w:id="15"/>
      </w:r>
      <w:r w:rsidR="0041468E" w:rsidRPr="00147936">
        <w:t xml:space="preserve"> </w:t>
      </w:r>
      <w:r w:rsidR="001977A6" w:rsidRPr="00147936">
        <w:t xml:space="preserve">Etant donné que Luc s’adressait à un </w:t>
      </w:r>
      <w:r w:rsidR="000A0968">
        <w:t>public</w:t>
      </w:r>
      <w:r w:rsidR="001977A6" w:rsidRPr="00147936">
        <w:t xml:space="preserve"> non-juif, son intention était probablement de montrer que Jésus était non seulement un descendant d’</w:t>
      </w:r>
      <w:r w:rsidR="0041468E" w:rsidRPr="00147936">
        <w:t>Abraham</w:t>
      </w:r>
      <w:r w:rsidR="001977A6" w:rsidRPr="00147936">
        <w:t>,</w:t>
      </w:r>
      <w:r w:rsidR="0041468E" w:rsidRPr="00147936">
        <w:t xml:space="preserve"> </w:t>
      </w:r>
      <w:r w:rsidR="001977A6" w:rsidRPr="00147936">
        <w:t>mais que son origine remont</w:t>
      </w:r>
      <w:r w:rsidR="009D60AE" w:rsidRPr="00147936">
        <w:t>ait</w:t>
      </w:r>
      <w:r w:rsidR="001977A6" w:rsidRPr="00147936">
        <w:t xml:space="preserve"> au père de toute l’humanité, </w:t>
      </w:r>
      <w:r w:rsidR="000A0968">
        <w:t xml:space="preserve">c'est-à-dire </w:t>
      </w:r>
      <w:r w:rsidR="001977A6" w:rsidRPr="00147936">
        <w:t xml:space="preserve">à Adam – et même plus loin, jusqu’à Dieu en personne. Comme le montre la généalogie de Luc, Jésus est pour tout le monde, pour les </w:t>
      </w:r>
      <w:r w:rsidR="009D60AE" w:rsidRPr="00147936">
        <w:t>J</w:t>
      </w:r>
      <w:r w:rsidR="001977A6" w:rsidRPr="00147936">
        <w:t xml:space="preserve">uifs comme pour les non </w:t>
      </w:r>
      <w:r w:rsidR="009D60AE" w:rsidRPr="00147936">
        <w:t>J</w:t>
      </w:r>
      <w:r w:rsidR="001977A6" w:rsidRPr="00147936">
        <w:t>uifs</w:t>
      </w:r>
      <w:r w:rsidR="009D60AE" w:rsidRPr="00147936">
        <w:t xml:space="preserve">, </w:t>
      </w:r>
      <w:r w:rsidR="003479A7">
        <w:t xml:space="preserve">ceux qu’on appelle </w:t>
      </w:r>
      <w:r w:rsidR="009D60AE" w:rsidRPr="00147936">
        <w:t>les Gentils</w:t>
      </w:r>
      <w:r w:rsidR="001977A6" w:rsidRPr="00147936">
        <w:t>.</w:t>
      </w:r>
      <w:r w:rsidR="00D41943" w:rsidRPr="00147936">
        <w:rPr>
          <w:rStyle w:val="EndnoteReference"/>
        </w:rPr>
        <w:endnoteReference w:id="16"/>
      </w:r>
    </w:p>
    <w:p w:rsidR="00C40EA9" w:rsidRPr="00147936" w:rsidRDefault="00204DCB">
      <w:pPr>
        <w:pStyle w:val="NormalWeb"/>
      </w:pPr>
      <w:r w:rsidRPr="00147936">
        <w:t xml:space="preserve">Dans leurs récits respectifs, </w:t>
      </w:r>
      <w:r w:rsidR="00F60357" w:rsidRPr="00147936">
        <w:t>Matthieu</w:t>
      </w:r>
      <w:r w:rsidR="0041468E" w:rsidRPr="00147936">
        <w:t xml:space="preserve"> </w:t>
      </w:r>
      <w:r w:rsidRPr="00147936">
        <w:t>et L</w:t>
      </w:r>
      <w:r w:rsidR="00F60357" w:rsidRPr="00147936">
        <w:t>uc</w:t>
      </w:r>
      <w:r w:rsidR="0041468E" w:rsidRPr="00147936">
        <w:t xml:space="preserve"> </w:t>
      </w:r>
      <w:r w:rsidRPr="00147936">
        <w:t xml:space="preserve">ont </w:t>
      </w:r>
      <w:r w:rsidR="0041468E" w:rsidRPr="00147936">
        <w:t>pr</w:t>
      </w:r>
      <w:r w:rsidRPr="00147936">
        <w:t>é</w:t>
      </w:r>
      <w:r w:rsidR="0041468E" w:rsidRPr="00147936">
        <w:t>sent</w:t>
      </w:r>
      <w:r w:rsidRPr="00147936">
        <w:t>é</w:t>
      </w:r>
      <w:r w:rsidR="0041468E" w:rsidRPr="00147936">
        <w:t xml:space="preserve"> diff</w:t>
      </w:r>
      <w:r w:rsidRPr="00147936">
        <w:t>é</w:t>
      </w:r>
      <w:r w:rsidR="0041468E" w:rsidRPr="00147936">
        <w:t>rent</w:t>
      </w:r>
      <w:r w:rsidRPr="00147936">
        <w:t>s</w:t>
      </w:r>
      <w:r w:rsidR="0041468E" w:rsidRPr="00147936">
        <w:t xml:space="preserve"> aspects </w:t>
      </w:r>
      <w:r w:rsidRPr="00147936">
        <w:t xml:space="preserve">et </w:t>
      </w:r>
      <w:r w:rsidR="0041468E" w:rsidRPr="00147936">
        <w:t>inclu</w:t>
      </w:r>
      <w:r w:rsidRPr="00147936">
        <w:t>s</w:t>
      </w:r>
      <w:r w:rsidR="0041468E" w:rsidRPr="00147936">
        <w:t xml:space="preserve"> diff</w:t>
      </w:r>
      <w:r w:rsidRPr="00147936">
        <w:t>é</w:t>
      </w:r>
      <w:r w:rsidR="0041468E" w:rsidRPr="00147936">
        <w:t>rent</w:t>
      </w:r>
      <w:r w:rsidRPr="00147936">
        <w:t>s</w:t>
      </w:r>
      <w:r w:rsidR="0041468E" w:rsidRPr="00147936">
        <w:t xml:space="preserve"> </w:t>
      </w:r>
      <w:r w:rsidRPr="00147936">
        <w:t xml:space="preserve">événements de la naissance de Jésus, tout en </w:t>
      </w:r>
      <w:r w:rsidR="0041468E" w:rsidRPr="00147936">
        <w:t>co</w:t>
      </w:r>
      <w:r w:rsidRPr="00147936">
        <w:t xml:space="preserve">uvrant le même sujet et les mêmes </w:t>
      </w:r>
      <w:r w:rsidR="00B014D0">
        <w:t>épisodes</w:t>
      </w:r>
      <w:r w:rsidRPr="00147936">
        <w:t xml:space="preserve"> importants. Le récit de Ma</w:t>
      </w:r>
      <w:r w:rsidR="00F60357" w:rsidRPr="00147936">
        <w:t>tthieu</w:t>
      </w:r>
      <w:r w:rsidR="0041468E" w:rsidRPr="00147936">
        <w:t xml:space="preserve"> </w:t>
      </w:r>
      <w:r w:rsidRPr="00147936">
        <w:t xml:space="preserve">se concentre sur Joseph et son rôle, tandis que le récit de Luc s’attache au rôle de Marie, et raconte l’histoire de </w:t>
      </w:r>
      <w:r w:rsidR="00101BF3" w:rsidRPr="00147936">
        <w:t>s</w:t>
      </w:r>
      <w:r w:rsidRPr="00147936">
        <w:t>on point de vue.</w:t>
      </w:r>
    </w:p>
    <w:p w:rsidR="00C40EA9" w:rsidRPr="00147936" w:rsidRDefault="000745BD">
      <w:pPr>
        <w:pStyle w:val="NormalWeb"/>
      </w:pPr>
      <w:r w:rsidRPr="00147936">
        <w:t xml:space="preserve">Le récit de </w:t>
      </w:r>
      <w:r w:rsidR="005775AF" w:rsidRPr="00147936">
        <w:t>M</w:t>
      </w:r>
      <w:r w:rsidR="00F60357" w:rsidRPr="00147936">
        <w:t>atthieu</w:t>
      </w:r>
      <w:r w:rsidR="005775AF" w:rsidRPr="00147936">
        <w:t xml:space="preserve"> nous apprend que </w:t>
      </w:r>
      <w:r w:rsidR="0041468E" w:rsidRPr="00147936">
        <w:t xml:space="preserve">Joseph </w:t>
      </w:r>
      <w:r w:rsidR="005775AF" w:rsidRPr="00147936">
        <w:t xml:space="preserve">était un homme </w:t>
      </w:r>
      <w:r w:rsidRPr="00147936">
        <w:t>« </w:t>
      </w:r>
      <w:r w:rsidR="005775AF" w:rsidRPr="00147936">
        <w:t>bon</w:t>
      </w:r>
      <w:r w:rsidRPr="00147936">
        <w:t> »</w:t>
      </w:r>
      <w:r w:rsidR="005775AF" w:rsidRPr="00147936">
        <w:t xml:space="preserve"> et </w:t>
      </w:r>
      <w:r w:rsidRPr="00147936">
        <w:t>« </w:t>
      </w:r>
      <w:r w:rsidR="005775AF" w:rsidRPr="00147936">
        <w:t>droit</w:t>
      </w:r>
      <w:r w:rsidRPr="00147936">
        <w:t> »</w:t>
      </w:r>
      <w:r w:rsidR="005775AF" w:rsidRPr="00147936">
        <w:t>, c</w:t>
      </w:r>
      <w:r w:rsidRPr="00147936">
        <w:t xml:space="preserve">e qui </w:t>
      </w:r>
      <w:r w:rsidR="00EE3E62" w:rsidRPr="00147936">
        <w:t>veut dire q</w:t>
      </w:r>
      <w:r w:rsidRPr="00147936">
        <w:t>ue c’</w:t>
      </w:r>
      <w:r w:rsidR="005775AF" w:rsidRPr="00147936">
        <w:t>était</w:t>
      </w:r>
      <w:r w:rsidRPr="00147936">
        <w:t xml:space="preserve"> un </w:t>
      </w:r>
      <w:r w:rsidR="00D91831" w:rsidRPr="00147936">
        <w:t>J</w:t>
      </w:r>
      <w:r w:rsidR="005775AF" w:rsidRPr="00147936">
        <w:t>uif pratiquant qui observait les lois de Dieu. Il était fiancé à une jeune femme nommée Marie</w:t>
      </w:r>
      <w:r w:rsidR="00D91831" w:rsidRPr="00147936">
        <w:t>,</w:t>
      </w:r>
      <w:r w:rsidR="005775AF" w:rsidRPr="00147936">
        <w:t xml:space="preserve"> qui « s’était trouvée enceinte par l’action du Saint–Esprit, avant qu’ils n’aient vécu ensemble. »</w:t>
      </w:r>
      <w:r w:rsidR="00BA3F04" w:rsidRPr="00147936">
        <w:rPr>
          <w:rStyle w:val="EndnoteReference"/>
        </w:rPr>
        <w:endnoteReference w:id="17"/>
      </w:r>
    </w:p>
    <w:p w:rsidR="00C40EA9" w:rsidRPr="00147936" w:rsidRDefault="00F1207C">
      <w:pPr>
        <w:pStyle w:val="NormalWeb"/>
      </w:pPr>
      <w:r w:rsidRPr="00147936">
        <w:t xml:space="preserve">Dans la </w:t>
      </w:r>
      <w:r w:rsidR="0041468E" w:rsidRPr="00147936">
        <w:t>Palestine</w:t>
      </w:r>
      <w:r w:rsidRPr="00147936">
        <w:t xml:space="preserve"> du premier siècle de notre ère, les fiançailles étaient une </w:t>
      </w:r>
      <w:r w:rsidR="00D94260" w:rsidRPr="00147936">
        <w:t xml:space="preserve">période </w:t>
      </w:r>
      <w:r w:rsidR="009264E7" w:rsidRPr="00147936">
        <w:t xml:space="preserve">d’engagement solennel </w:t>
      </w:r>
      <w:r w:rsidRPr="00147936">
        <w:t>précédant le mariage</w:t>
      </w:r>
      <w:r w:rsidR="00D94260" w:rsidRPr="00147936">
        <w:t xml:space="preserve">. </w:t>
      </w:r>
      <w:r w:rsidR="0041468E" w:rsidRPr="00147936">
        <w:t xml:space="preserve">Raymond Brown </w:t>
      </w:r>
      <w:r w:rsidR="00DC6ED3" w:rsidRPr="00147936">
        <w:t>l’explique comme</w:t>
      </w:r>
      <w:r w:rsidR="00DC6ED3">
        <w:t xml:space="preserve"> cec</w:t>
      </w:r>
      <w:r w:rsidR="00DC6ED3" w:rsidRPr="00147936">
        <w:t>i</w:t>
      </w:r>
      <w:r w:rsidR="00DC6ED3">
        <w:t xml:space="preserve"> </w:t>
      </w:r>
      <w:r w:rsidR="00D94260" w:rsidRPr="00147936">
        <w:t xml:space="preserve">: </w:t>
      </w:r>
    </w:p>
    <w:p w:rsidR="00C40EA9" w:rsidRPr="00147936" w:rsidRDefault="0041468E">
      <w:pPr>
        <w:pStyle w:val="indent"/>
      </w:pPr>
      <w:r w:rsidRPr="00147936">
        <w:rPr>
          <w:rStyle w:val="Emphasis"/>
        </w:rPr>
        <w:t>[</w:t>
      </w:r>
      <w:r w:rsidR="009264E7" w:rsidRPr="00147936">
        <w:rPr>
          <w:rStyle w:val="Emphasis"/>
        </w:rPr>
        <w:t>Les fiançailles</w:t>
      </w:r>
      <w:r w:rsidRPr="00147936">
        <w:rPr>
          <w:rStyle w:val="Emphasis"/>
        </w:rPr>
        <w:t>] co</w:t>
      </w:r>
      <w:r w:rsidR="009264E7" w:rsidRPr="00147936">
        <w:rPr>
          <w:rStyle w:val="Emphasis"/>
        </w:rPr>
        <w:t xml:space="preserve">mportaient deux étapes: </w:t>
      </w:r>
      <w:r w:rsidR="00EE3E62" w:rsidRPr="00147936">
        <w:rPr>
          <w:rStyle w:val="Emphasis"/>
        </w:rPr>
        <w:t>d’abord</w:t>
      </w:r>
      <w:r w:rsidR="00C0134D" w:rsidRPr="00147936">
        <w:rPr>
          <w:rStyle w:val="Emphasis"/>
        </w:rPr>
        <w:t>,</w:t>
      </w:r>
      <w:r w:rsidR="00EE3E62" w:rsidRPr="00147936">
        <w:rPr>
          <w:rStyle w:val="Emphasis"/>
        </w:rPr>
        <w:t xml:space="preserve"> </w:t>
      </w:r>
      <w:r w:rsidR="00212B9B" w:rsidRPr="00147936">
        <w:rPr>
          <w:rStyle w:val="Emphasis"/>
        </w:rPr>
        <w:t>un échange de promesse</w:t>
      </w:r>
      <w:r w:rsidR="002D51DB">
        <w:rPr>
          <w:rStyle w:val="Emphasis"/>
        </w:rPr>
        <w:t>s</w:t>
      </w:r>
      <w:r w:rsidR="00212B9B" w:rsidRPr="00147936">
        <w:rPr>
          <w:rStyle w:val="Emphasis"/>
        </w:rPr>
        <w:t xml:space="preserve"> et de consentement</w:t>
      </w:r>
      <w:r w:rsidR="002D51DB">
        <w:rPr>
          <w:rStyle w:val="Emphasis"/>
        </w:rPr>
        <w:t>s</w:t>
      </w:r>
      <w:r w:rsidR="00212B9B" w:rsidRPr="00147936">
        <w:rPr>
          <w:rStyle w:val="Emphasis"/>
        </w:rPr>
        <w:t xml:space="preserve"> devant témoins</w:t>
      </w:r>
      <w:r w:rsidR="00EE3E62" w:rsidRPr="00147936">
        <w:rPr>
          <w:rStyle w:val="Emphasis"/>
        </w:rPr>
        <w:t xml:space="preserve"> ; </w:t>
      </w:r>
      <w:r w:rsidR="002D51DB">
        <w:rPr>
          <w:rStyle w:val="Emphasis"/>
        </w:rPr>
        <w:t>puis</w:t>
      </w:r>
      <w:r w:rsidR="00C0134D" w:rsidRPr="00147936">
        <w:rPr>
          <w:rStyle w:val="Emphasis"/>
        </w:rPr>
        <w:t>,</w:t>
      </w:r>
      <w:r w:rsidR="00EE3E62" w:rsidRPr="00147936">
        <w:rPr>
          <w:rStyle w:val="Emphasis"/>
        </w:rPr>
        <w:t xml:space="preserve"> le jeune marié emmenait son épouse chez lui. Alors que le terme de mariage proprement dit est le plus souvent employé pour désigner la seconde étape, en termes d’implications légales</w:t>
      </w:r>
      <w:r w:rsidR="00C0134D" w:rsidRPr="00147936">
        <w:rPr>
          <w:rStyle w:val="Emphasis"/>
        </w:rPr>
        <w:t>,</w:t>
      </w:r>
      <w:r w:rsidR="00EE3E62" w:rsidRPr="00147936">
        <w:rPr>
          <w:rStyle w:val="Emphasis"/>
        </w:rPr>
        <w:t xml:space="preserve"> il serait plus approprié de l’appliquer à la première étape. </w:t>
      </w:r>
      <w:r w:rsidR="00F714AD" w:rsidRPr="00147936">
        <w:rPr>
          <w:rStyle w:val="Emphasis"/>
        </w:rPr>
        <w:t>Le consentement, qui avait lieu lorsque la jeune fille avait entre douze et treize ans, aurait constitué</w:t>
      </w:r>
      <w:r w:rsidR="008A4469">
        <w:rPr>
          <w:rStyle w:val="Emphasis"/>
        </w:rPr>
        <w:t xml:space="preserve"> pour nous un mariage </w:t>
      </w:r>
      <w:r w:rsidR="00F714AD" w:rsidRPr="00147936">
        <w:rPr>
          <w:rStyle w:val="Emphasis"/>
        </w:rPr>
        <w:t>légalement</w:t>
      </w:r>
      <w:r w:rsidR="002D51DB">
        <w:rPr>
          <w:rStyle w:val="Emphasis"/>
        </w:rPr>
        <w:t xml:space="preserve"> contracté</w:t>
      </w:r>
      <w:r w:rsidR="00F714AD" w:rsidRPr="00147936">
        <w:rPr>
          <w:rStyle w:val="Emphasis"/>
        </w:rPr>
        <w:t>, puisqu’il donnait au jeune homme des droits sur la jeune fille. Désormais, elle était son épouse, et toute violation de ses droits maritaux pouvait constituer un cas d’adultère</w:t>
      </w:r>
      <w:r w:rsidR="00FF1C88">
        <w:rPr>
          <w:rStyle w:val="Emphasis"/>
        </w:rPr>
        <w:t>,</w:t>
      </w:r>
      <w:r w:rsidR="00F714AD" w:rsidRPr="00147936">
        <w:rPr>
          <w:rStyle w:val="Emphasis"/>
        </w:rPr>
        <w:t xml:space="preserve"> et être puni en conséquence. </w:t>
      </w:r>
      <w:r w:rsidR="00B5385E" w:rsidRPr="00147936">
        <w:rPr>
          <w:rStyle w:val="Emphasis"/>
        </w:rPr>
        <w:t xml:space="preserve">Toutefois, l’épouse continuait </w:t>
      </w:r>
      <w:r w:rsidR="008A4469">
        <w:rPr>
          <w:rStyle w:val="Emphasis"/>
        </w:rPr>
        <w:t>à</w:t>
      </w:r>
      <w:r w:rsidR="00B5385E" w:rsidRPr="00147936">
        <w:rPr>
          <w:rStyle w:val="Emphasis"/>
        </w:rPr>
        <w:t xml:space="preserve"> vivre chez ses parents, pendant environ un an. Ensuite avait lieu la cérémonie du transfert de l’épouse chez le mari, où il avait la responsabilité de subvenir à ses besoins</w:t>
      </w:r>
      <w:r w:rsidRPr="00147936">
        <w:t>.</w:t>
      </w:r>
      <w:r w:rsidR="00BA3F04" w:rsidRPr="00147936">
        <w:rPr>
          <w:rStyle w:val="EndnoteReference"/>
        </w:rPr>
        <w:endnoteReference w:id="18"/>
      </w:r>
    </w:p>
    <w:p w:rsidR="00C40EA9" w:rsidRPr="00147936" w:rsidRDefault="00BC5DBF">
      <w:pPr>
        <w:pStyle w:val="NormalWeb"/>
      </w:pPr>
      <w:r w:rsidRPr="00147936">
        <w:t xml:space="preserve">Depuis le jour où elle s’était fiancée à </w:t>
      </w:r>
      <w:r w:rsidR="0041468E" w:rsidRPr="00147936">
        <w:t>Joseph, Mar</w:t>
      </w:r>
      <w:r w:rsidRPr="00147936">
        <w:t xml:space="preserve">ie était considérée comme son épouse, bien qu’ils n’aient accompli que la première étape du processus de mariage et qu’ils n’aient pas encore commencé à vivre ensemble ni à avoir de relations sexuelles. </w:t>
      </w:r>
      <w:r w:rsidR="00337947">
        <w:t>Or,</w:t>
      </w:r>
      <w:r w:rsidR="0018099A">
        <w:t xml:space="preserve"> </w:t>
      </w:r>
      <w:r w:rsidRPr="00147936">
        <w:t>Marie tomba enceinte</w:t>
      </w:r>
      <w:r w:rsidR="0018099A" w:rsidRPr="0018099A">
        <w:t xml:space="preserve"> </w:t>
      </w:r>
      <w:r w:rsidR="0018099A" w:rsidRPr="00147936">
        <w:t xml:space="preserve">avant qu’ils </w:t>
      </w:r>
      <w:r w:rsidR="0018099A">
        <w:t xml:space="preserve">ne </w:t>
      </w:r>
      <w:r w:rsidR="0018099A" w:rsidRPr="00147936">
        <w:t>passent à la deuxième étape</w:t>
      </w:r>
      <w:r w:rsidRPr="00147936">
        <w:t>.</w:t>
      </w:r>
    </w:p>
    <w:p w:rsidR="00C40EA9" w:rsidRPr="00147936" w:rsidRDefault="00632921" w:rsidP="00342139">
      <w:pPr>
        <w:pStyle w:val="NormalWeb"/>
      </w:pPr>
      <w:r w:rsidRPr="00147936">
        <w:t xml:space="preserve">L’Evangile de </w:t>
      </w:r>
      <w:r w:rsidR="00F60357" w:rsidRPr="00147936">
        <w:t>Matthieu</w:t>
      </w:r>
      <w:r w:rsidRPr="00147936">
        <w:t xml:space="preserve"> nous dit que la grossesse de Marie est le fait du Saint-Esprit, mais il ne donne aucun détail sur cet épisode. En revanche, Luc nous </w:t>
      </w:r>
      <w:r w:rsidR="00BD3AF2" w:rsidRPr="00147936">
        <w:t xml:space="preserve">fait un récit détaillé de la façon dont </w:t>
      </w:r>
      <w:r w:rsidRPr="00147936">
        <w:t>Dieu envo</w:t>
      </w:r>
      <w:r w:rsidR="00A84B5E" w:rsidRPr="00147936">
        <w:t>ya</w:t>
      </w:r>
      <w:r w:rsidRPr="00147936">
        <w:t xml:space="preserve"> </w:t>
      </w:r>
      <w:r w:rsidR="00F25956" w:rsidRPr="00147936">
        <w:t>l’</w:t>
      </w:r>
      <w:r w:rsidR="0041468E" w:rsidRPr="00147936">
        <w:t xml:space="preserve">ange Gabriel </w:t>
      </w:r>
      <w:r w:rsidR="00F25956" w:rsidRPr="00147936">
        <w:t xml:space="preserve">à </w:t>
      </w:r>
      <w:r w:rsidR="0041468E" w:rsidRPr="00147936">
        <w:t xml:space="preserve">Nazareth, </w:t>
      </w:r>
      <w:r w:rsidR="00F25956" w:rsidRPr="00147936">
        <w:rPr>
          <w:rStyle w:val="Emphasis"/>
        </w:rPr>
        <w:t>chez une jeune fille liée par fiançailles à un homme nommé Joseph, un descendant du roi David. Cette jeune fille s’appelait Marie.</w:t>
      </w:r>
      <w:r w:rsidR="001550A1" w:rsidRPr="00147936">
        <w:rPr>
          <w:rStyle w:val="EndnoteReference"/>
        </w:rPr>
        <w:endnoteReference w:id="19"/>
      </w:r>
      <w:r w:rsidR="00342139" w:rsidRPr="00147936">
        <w:t xml:space="preserve"> </w:t>
      </w:r>
      <w:r w:rsidR="0041468E" w:rsidRPr="00147936">
        <w:t xml:space="preserve">Gabriel </w:t>
      </w:r>
      <w:r w:rsidR="00342139" w:rsidRPr="00147936">
        <w:t xml:space="preserve">annonce à Marie qu’elle a trouvé grâce auprès de Dieu, et il ajoute: </w:t>
      </w:r>
      <w:r w:rsidR="00ED3D0A" w:rsidRPr="00155865">
        <w:rPr>
          <w:i/>
        </w:rPr>
        <w:t>« </w:t>
      </w:r>
      <w:r w:rsidR="00342139" w:rsidRPr="00155865">
        <w:rPr>
          <w:i/>
        </w:rPr>
        <w:t>Voici : bientôt tu seras enceinte et tu mettras au monde un fils ; tu le nommeras Jésus. Il sera grand. Il sera appelé « Fils du Très–Haut », et le Seigneur Dieu lui donnera le trône de David, son ancêtre. Il régnera éternellement sur le peuple issu de Jacob, et son règne n’aura pas de fin.</w:t>
      </w:r>
      <w:r w:rsidR="00ED3D0A" w:rsidRPr="00155865">
        <w:rPr>
          <w:i/>
        </w:rPr>
        <w:t> »</w:t>
      </w:r>
      <w:r w:rsidR="00342139" w:rsidRPr="00147936">
        <w:rPr>
          <w:rStyle w:val="EndnoteReference"/>
        </w:rPr>
        <w:endnoteReference w:id="20"/>
      </w:r>
    </w:p>
    <w:p w:rsidR="00C40EA9" w:rsidRPr="00147936" w:rsidRDefault="0041468E">
      <w:pPr>
        <w:pStyle w:val="NormalWeb"/>
      </w:pPr>
      <w:r w:rsidRPr="00147936">
        <w:t>Mar</w:t>
      </w:r>
      <w:r w:rsidR="00F72D69" w:rsidRPr="00147936">
        <w:t xml:space="preserve">ie lui demande comment cela peut être possible vu qu’elle est encore vierge, et l’ange lui répond ceci: </w:t>
      </w:r>
    </w:p>
    <w:p w:rsidR="00C40EA9" w:rsidRPr="00147936" w:rsidRDefault="006B5703">
      <w:pPr>
        <w:pStyle w:val="indent"/>
      </w:pPr>
      <w:r w:rsidRPr="00147936">
        <w:rPr>
          <w:rStyle w:val="Emphasis"/>
        </w:rPr>
        <w:t>L’Esprit Saint descendra sur toi, et la puissance du Dieu très–haut te couvrira de son ombre. C’est pourquoi le saint enfant qui naîtra de toi sera appelé Fils de Dieu</w:t>
      </w:r>
      <w:r w:rsidR="0041468E" w:rsidRPr="00147936">
        <w:rPr>
          <w:rStyle w:val="Emphasis"/>
        </w:rPr>
        <w:t>.</w:t>
      </w:r>
      <w:r w:rsidR="00D321CB" w:rsidRPr="00147936">
        <w:rPr>
          <w:rStyle w:val="EndnoteReference"/>
        </w:rPr>
        <w:endnoteReference w:id="21"/>
      </w:r>
    </w:p>
    <w:p w:rsidR="00C40EA9" w:rsidRPr="00147936" w:rsidRDefault="0041468E">
      <w:pPr>
        <w:pStyle w:val="NormalWeb"/>
      </w:pPr>
      <w:r w:rsidRPr="00147936">
        <w:t>Mar</w:t>
      </w:r>
      <w:r w:rsidR="006B5703" w:rsidRPr="00147936">
        <w:t>ie</w:t>
      </w:r>
      <w:r w:rsidRPr="00147936">
        <w:t xml:space="preserve">, </w:t>
      </w:r>
      <w:r w:rsidR="00BE6D0E" w:rsidRPr="00147936">
        <w:t xml:space="preserve">qui n’était encore probablement qu’une jeune adolescente, </w:t>
      </w:r>
      <w:r w:rsidR="001D3326" w:rsidRPr="00147936">
        <w:t xml:space="preserve">lui </w:t>
      </w:r>
      <w:r w:rsidR="002D5265" w:rsidRPr="00147936">
        <w:t xml:space="preserve">pose </w:t>
      </w:r>
      <w:r w:rsidR="000B0534">
        <w:t>alors la</w:t>
      </w:r>
      <w:r w:rsidR="00155865">
        <w:t xml:space="preserve"> q</w:t>
      </w:r>
      <w:r w:rsidR="002D5265" w:rsidRPr="00147936">
        <w:t xml:space="preserve">uestion </w:t>
      </w:r>
      <w:r w:rsidR="000B0534">
        <w:t xml:space="preserve">qui lui brûle les lèvres </w:t>
      </w:r>
      <w:r w:rsidR="002D5265" w:rsidRPr="00147936">
        <w:t>: comment</w:t>
      </w:r>
      <w:r w:rsidR="001D3326" w:rsidRPr="00147936">
        <w:t xml:space="preserve"> tombera</w:t>
      </w:r>
      <w:r w:rsidR="002D5265" w:rsidRPr="00147936">
        <w:t>-t-elle</w:t>
      </w:r>
      <w:r w:rsidR="001D3326" w:rsidRPr="00147936">
        <w:t xml:space="preserve"> enceinte alors qu’elle n’est que fiancée et </w:t>
      </w:r>
      <w:r w:rsidR="002D5265" w:rsidRPr="00147936">
        <w:t>qu’</w:t>
      </w:r>
      <w:r w:rsidR="001D3326" w:rsidRPr="00147936">
        <w:t>elle n’a pas encore eu de rapports sexuels avec son époux</w:t>
      </w:r>
      <w:r w:rsidR="002D5265" w:rsidRPr="00147936">
        <w:t> ?</w:t>
      </w:r>
      <w:r w:rsidR="001D3326" w:rsidRPr="00147936">
        <w:t xml:space="preserve"> L’ange lui répond que sa grossesse sera causée par la puissance du Saint-Esprit qui viendra la couvrir de son ombre. Brown écrit: </w:t>
      </w:r>
    </w:p>
    <w:p w:rsidR="00C40EA9" w:rsidRPr="00147936" w:rsidRDefault="00C039FE">
      <w:pPr>
        <w:pStyle w:val="indent"/>
      </w:pPr>
      <w:r w:rsidRPr="00147936">
        <w:rPr>
          <w:rStyle w:val="Emphasis"/>
        </w:rPr>
        <w:t>Ni l’Evangile de Luc ni c</w:t>
      </w:r>
      <w:r w:rsidR="00902F9D" w:rsidRPr="00147936">
        <w:rPr>
          <w:rStyle w:val="Emphasis"/>
        </w:rPr>
        <w:t>el</w:t>
      </w:r>
      <w:r w:rsidRPr="00147936">
        <w:rPr>
          <w:rStyle w:val="Emphasis"/>
        </w:rPr>
        <w:t>ui de M</w:t>
      </w:r>
      <w:r w:rsidR="00F60357" w:rsidRPr="00147936">
        <w:rPr>
          <w:rStyle w:val="Emphasis"/>
        </w:rPr>
        <w:t>atthieu</w:t>
      </w:r>
      <w:r w:rsidR="0041468E" w:rsidRPr="00147936">
        <w:rPr>
          <w:rStyle w:val="Emphasis"/>
        </w:rPr>
        <w:t xml:space="preserve"> </w:t>
      </w:r>
      <w:r w:rsidRPr="00147936">
        <w:rPr>
          <w:rStyle w:val="Emphasis"/>
        </w:rPr>
        <w:t>ne suggère à aucun moment que le Saint-Esprit puisse être l’élément m</w:t>
      </w:r>
      <w:r w:rsidR="00D13B65">
        <w:rPr>
          <w:rStyle w:val="Emphasis"/>
        </w:rPr>
        <w:t>asculin d</w:t>
      </w:r>
      <w:r w:rsidRPr="00147936">
        <w:rPr>
          <w:rStyle w:val="Emphasis"/>
        </w:rPr>
        <w:t>e l’union avec Marie, ni qu’Il ait remplacé le mari dans l’acte de conception. Non seulement le Saint-Esprit n’est pas masculin (il</w:t>
      </w:r>
      <w:r w:rsidR="00170655" w:rsidRPr="00147936">
        <w:rPr>
          <w:rStyle w:val="Emphasis"/>
        </w:rPr>
        <w:t xml:space="preserve"> est féminin en hébreu, et neut</w:t>
      </w:r>
      <w:r w:rsidRPr="00147936">
        <w:rPr>
          <w:rStyle w:val="Emphasis"/>
        </w:rPr>
        <w:t>r</w:t>
      </w:r>
      <w:r w:rsidR="00170655" w:rsidRPr="00147936">
        <w:rPr>
          <w:rStyle w:val="Emphasis"/>
        </w:rPr>
        <w:t>e</w:t>
      </w:r>
      <w:r w:rsidRPr="00147936">
        <w:rPr>
          <w:rStyle w:val="Emphasis"/>
        </w:rPr>
        <w:t xml:space="preserve"> en grec), mais en outre la conception est implicitement </w:t>
      </w:r>
      <w:r w:rsidR="00155865">
        <w:rPr>
          <w:rStyle w:val="Emphasis"/>
        </w:rPr>
        <w:t xml:space="preserve">présenté comme </w:t>
      </w:r>
      <w:r w:rsidRPr="00147936">
        <w:rPr>
          <w:rStyle w:val="Emphasis"/>
        </w:rPr>
        <w:t xml:space="preserve">le résultat d’un acte créateur plutôt que d’un acte sexuel. </w:t>
      </w:r>
      <w:r w:rsidR="00BA3F04" w:rsidRPr="00147936">
        <w:rPr>
          <w:rStyle w:val="EndnoteReference"/>
        </w:rPr>
        <w:endnoteReference w:id="22"/>
      </w:r>
      <w:r w:rsidR="0041468E" w:rsidRPr="00147936">
        <w:t xml:space="preserve"> </w:t>
      </w:r>
      <w:r w:rsidR="0041468E" w:rsidRPr="00147936">
        <w:rPr>
          <w:rStyle w:val="Emphasis"/>
        </w:rPr>
        <w:t>N</w:t>
      </w:r>
      <w:r w:rsidR="00902F9D" w:rsidRPr="00147936">
        <w:rPr>
          <w:rStyle w:val="Emphasis"/>
        </w:rPr>
        <w:t xml:space="preserve">i dans </w:t>
      </w:r>
      <w:r w:rsidR="00F60357" w:rsidRPr="00147936">
        <w:rPr>
          <w:rStyle w:val="Emphasis"/>
        </w:rPr>
        <w:t>Matthieu</w:t>
      </w:r>
      <w:r w:rsidR="0041468E" w:rsidRPr="00147936">
        <w:rPr>
          <w:rStyle w:val="Emphasis"/>
        </w:rPr>
        <w:t xml:space="preserve"> </w:t>
      </w:r>
      <w:r w:rsidR="00902F9D" w:rsidRPr="00147936">
        <w:rPr>
          <w:rStyle w:val="Emphasis"/>
        </w:rPr>
        <w:t>ni dans L</w:t>
      </w:r>
      <w:r w:rsidR="00F60357" w:rsidRPr="00147936">
        <w:rPr>
          <w:rStyle w:val="Emphasis"/>
        </w:rPr>
        <w:t>uc</w:t>
      </w:r>
      <w:r w:rsidR="00B376CB" w:rsidRPr="00147936">
        <w:rPr>
          <w:rStyle w:val="Emphasis"/>
        </w:rPr>
        <w:t>,</w:t>
      </w:r>
      <w:r w:rsidR="0041468E" w:rsidRPr="00147936">
        <w:rPr>
          <w:rStyle w:val="Emphasis"/>
        </w:rPr>
        <w:t xml:space="preserve"> </w:t>
      </w:r>
      <w:r w:rsidR="00902F9D" w:rsidRPr="00147936">
        <w:rPr>
          <w:rStyle w:val="Emphasis"/>
        </w:rPr>
        <w:t xml:space="preserve">la conception divine de </w:t>
      </w:r>
      <w:r w:rsidR="0041468E" w:rsidRPr="00147936">
        <w:rPr>
          <w:rStyle w:val="Emphasis"/>
        </w:rPr>
        <w:t>J</w:t>
      </w:r>
      <w:r w:rsidR="00902F9D" w:rsidRPr="00147936">
        <w:rPr>
          <w:rStyle w:val="Emphasis"/>
        </w:rPr>
        <w:t>é</w:t>
      </w:r>
      <w:r w:rsidR="0041468E" w:rsidRPr="00147936">
        <w:rPr>
          <w:rStyle w:val="Emphasis"/>
        </w:rPr>
        <w:t xml:space="preserve">sus </w:t>
      </w:r>
      <w:r w:rsidR="00B376CB" w:rsidRPr="00147936">
        <w:rPr>
          <w:rStyle w:val="Emphasis"/>
        </w:rPr>
        <w:t>n’</w:t>
      </w:r>
      <w:r w:rsidR="00902F9D" w:rsidRPr="00147936">
        <w:rPr>
          <w:rStyle w:val="Emphasis"/>
        </w:rPr>
        <w:t xml:space="preserve">est présentée comme </w:t>
      </w:r>
      <w:r w:rsidR="00B376CB" w:rsidRPr="00147936">
        <w:rPr>
          <w:rStyle w:val="Emphasis"/>
        </w:rPr>
        <w:t>le résultat d’un acte sexuel</w:t>
      </w:r>
      <w:r w:rsidR="00902F9D" w:rsidRPr="00147936">
        <w:rPr>
          <w:rStyle w:val="Emphasis"/>
        </w:rPr>
        <w:t xml:space="preserve">. Le Saint-Esprit est l’agent du pouvoir de </w:t>
      </w:r>
      <w:r w:rsidR="00925E15" w:rsidRPr="00147936">
        <w:rPr>
          <w:rStyle w:val="Emphasis"/>
        </w:rPr>
        <w:t>cré</w:t>
      </w:r>
      <w:r w:rsidR="00902F9D" w:rsidRPr="00147936">
        <w:rPr>
          <w:rStyle w:val="Emphasis"/>
        </w:rPr>
        <w:t>ation de Dieu, et non pas un partenaire m</w:t>
      </w:r>
      <w:r w:rsidR="00155865">
        <w:rPr>
          <w:rStyle w:val="Emphasis"/>
        </w:rPr>
        <w:t>asculin</w:t>
      </w:r>
      <w:r w:rsidR="00902F9D" w:rsidRPr="00147936">
        <w:rPr>
          <w:rStyle w:val="Emphasis"/>
        </w:rPr>
        <w:t xml:space="preserve"> dans un</w:t>
      </w:r>
      <w:r w:rsidR="00D13B65">
        <w:rPr>
          <w:rStyle w:val="Emphasis"/>
        </w:rPr>
        <w:t>e union</w:t>
      </w:r>
      <w:r w:rsidR="00902F9D" w:rsidRPr="00147936">
        <w:rPr>
          <w:rStyle w:val="Emphasis"/>
        </w:rPr>
        <w:t xml:space="preserve"> entre un dieu et une femme.</w:t>
      </w:r>
      <w:r w:rsidR="00BA3F04" w:rsidRPr="00147936">
        <w:rPr>
          <w:rStyle w:val="EndnoteReference"/>
        </w:rPr>
        <w:endnoteReference w:id="23"/>
      </w:r>
    </w:p>
    <w:p w:rsidR="00C40EA9" w:rsidRPr="00147936" w:rsidRDefault="00A973D1">
      <w:pPr>
        <w:pStyle w:val="NormalWeb"/>
      </w:pPr>
      <w:r w:rsidRPr="00147936">
        <w:t>Cette conception ne ressemble à aucune autre conception de l’histoire humaine. Marie tombe enceinte par un acte créateur de Dieu. On ne nous précise pas comment s</w:t>
      </w:r>
      <w:r w:rsidR="00300ED0">
        <w:t>e</w:t>
      </w:r>
      <w:r w:rsidRPr="00147936">
        <w:t xml:space="preserve"> produit cet acte créateur, pas plus qu’on nous précise la façon dont Dieu a créé le monde, si ce n’est qu’Il a parlé et que c’est arrivé.</w:t>
      </w:r>
    </w:p>
    <w:p w:rsidR="00C40EA9" w:rsidRPr="00147936" w:rsidRDefault="0041468E">
      <w:pPr>
        <w:pStyle w:val="NormalWeb"/>
      </w:pPr>
      <w:r w:rsidRPr="00147936">
        <w:t>Mar</w:t>
      </w:r>
      <w:r w:rsidR="006416EE" w:rsidRPr="00147936">
        <w:t>ie donne son accord et déclare : « </w:t>
      </w:r>
      <w:r w:rsidR="006416EE" w:rsidRPr="00147936">
        <w:rPr>
          <w:rStyle w:val="Emphasis"/>
        </w:rPr>
        <w:t>Je suis la servante du Seigneur. Que tout ce que tu m’as dit s’accomplisse pour moi. »</w:t>
      </w:r>
      <w:r w:rsidR="007E32CD" w:rsidRPr="00147936">
        <w:rPr>
          <w:rStyle w:val="EndnoteReference"/>
        </w:rPr>
        <w:endnoteReference w:id="24"/>
      </w:r>
      <w:r w:rsidR="007E32CD" w:rsidRPr="00147936">
        <w:t xml:space="preserve"> </w:t>
      </w:r>
      <w:r w:rsidR="00D4567C" w:rsidRPr="00147936">
        <w:t xml:space="preserve">Voici comment Fulton Sheen nous décrit cette scène </w:t>
      </w:r>
      <w:r w:rsidR="0092310B" w:rsidRPr="00147936">
        <w:t>magnifique</w:t>
      </w:r>
      <w:r w:rsidR="00D4567C" w:rsidRPr="00147936">
        <w:t>:</w:t>
      </w:r>
    </w:p>
    <w:p w:rsidR="00C40EA9" w:rsidRPr="00147936" w:rsidRDefault="008F0F3C">
      <w:pPr>
        <w:pStyle w:val="indent"/>
      </w:pPr>
      <w:r w:rsidRPr="00147936">
        <w:rPr>
          <w:rStyle w:val="Emphasis"/>
        </w:rPr>
        <w:t>Ce que l’on appelle l’Annonciation était en fait Dieu demandant l’aide librement consentie d’une de ses créatures</w:t>
      </w:r>
      <w:r w:rsidR="005D4DA7" w:rsidRPr="00147936">
        <w:rPr>
          <w:rStyle w:val="Emphasis"/>
        </w:rPr>
        <w:t>,</w:t>
      </w:r>
      <w:r w:rsidRPr="00147936">
        <w:rPr>
          <w:rStyle w:val="Emphasis"/>
        </w:rPr>
        <w:t xml:space="preserve"> afin de S’incorporer à l’humanité. … Il a donc demandé à </w:t>
      </w:r>
      <w:r w:rsidR="005D4DA7" w:rsidRPr="00147936">
        <w:rPr>
          <w:rStyle w:val="Emphasis"/>
        </w:rPr>
        <w:t xml:space="preserve">une </w:t>
      </w:r>
      <w:r w:rsidRPr="00147936">
        <w:rPr>
          <w:rStyle w:val="Emphasis"/>
        </w:rPr>
        <w:t>femme, représentant l’humanité, d’accepter de Lui donner une nature humaine par laquelle Il allait commencer une nouvelle humanité. De même qu’en Adam, il existait une ancienne humanité, il y aurait une nouvelle humanité en Christ, qui était Dieu incarné</w:t>
      </w:r>
      <w:r w:rsidR="005D4DA7" w:rsidRPr="00147936">
        <w:rPr>
          <w:rStyle w:val="Emphasis"/>
        </w:rPr>
        <w:t>,</w:t>
      </w:r>
      <w:r w:rsidRPr="00147936">
        <w:rPr>
          <w:rStyle w:val="Emphasis"/>
        </w:rPr>
        <w:t xml:space="preserve"> grâce à la bonne volonté d’une mère humaine</w:t>
      </w:r>
      <w:r w:rsidR="0041468E" w:rsidRPr="00147936">
        <w:t>.</w:t>
      </w:r>
      <w:r w:rsidR="00BA3F04" w:rsidRPr="00147936">
        <w:rPr>
          <w:rStyle w:val="EndnoteReference"/>
        </w:rPr>
        <w:endnoteReference w:id="25"/>
      </w:r>
    </w:p>
    <w:p w:rsidR="00C40EA9" w:rsidRPr="00147936" w:rsidRDefault="00D24392">
      <w:pPr>
        <w:pStyle w:val="NormalWeb"/>
      </w:pPr>
      <w:r w:rsidRPr="00147936">
        <w:t xml:space="preserve">L’ange donne à Marie un signe prouvant que ce qu’il lui </w:t>
      </w:r>
      <w:r w:rsidR="006573ED" w:rsidRPr="00147936">
        <w:t xml:space="preserve">a </w:t>
      </w:r>
      <w:r w:rsidRPr="00147936">
        <w:t xml:space="preserve">annoncé va s’accomplir; il lui révèle que sa cousine </w:t>
      </w:r>
      <w:r w:rsidR="00734597" w:rsidRPr="00147936">
        <w:t>Élisabeth</w:t>
      </w:r>
      <w:r w:rsidR="00734597">
        <w:t>,</w:t>
      </w:r>
      <w:r w:rsidR="00734597" w:rsidRPr="00147936">
        <w:t xml:space="preserve"> </w:t>
      </w:r>
      <w:r w:rsidRPr="00147936">
        <w:t>déjà avancée en âge, est elle aussi enceinte d’un fils. Luc rapporte que Marie partit pour se rendre en hâte dans une ville de montagne d</w:t>
      </w:r>
      <w:r w:rsidR="00734597">
        <w:t>e la</w:t>
      </w:r>
      <w:r w:rsidRPr="00147936">
        <w:t xml:space="preserve"> Judée</w:t>
      </w:r>
      <w:r w:rsidR="006573ED" w:rsidRPr="00147936">
        <w:t>,</w:t>
      </w:r>
      <w:r w:rsidRPr="00147936">
        <w:t xml:space="preserve"> pour rendre visite à Elisabeth, laquelle attendait miraculeusement un fils malgré son grand âge.</w:t>
      </w:r>
      <w:r w:rsidRPr="00147936">
        <w:rPr>
          <w:rStyle w:val="EndnoteReference"/>
        </w:rPr>
        <w:t xml:space="preserve"> </w:t>
      </w:r>
      <w:r w:rsidRPr="00147936">
        <w:rPr>
          <w:rStyle w:val="EndnoteReference"/>
        </w:rPr>
        <w:endnoteReference w:id="26"/>
      </w:r>
      <w:r w:rsidRPr="00147936">
        <w:t xml:space="preserve"> (Nous reviendrons sur l’histoire d’Elisabeth dans les </w:t>
      </w:r>
      <w:r w:rsidR="001F3335" w:rsidRPr="00147936">
        <w:t>2</w:t>
      </w:r>
      <w:r w:rsidRPr="00147936">
        <w:rPr>
          <w:vertAlign w:val="superscript"/>
        </w:rPr>
        <w:t>ème</w:t>
      </w:r>
      <w:r w:rsidRPr="00147936">
        <w:t xml:space="preserve"> et 3</w:t>
      </w:r>
      <w:r w:rsidRPr="00147936">
        <w:rPr>
          <w:vertAlign w:val="superscript"/>
        </w:rPr>
        <w:t>ème</w:t>
      </w:r>
      <w:r w:rsidR="001F3335" w:rsidRPr="00147936">
        <w:t xml:space="preserve"> </w:t>
      </w:r>
      <w:r w:rsidRPr="00147936">
        <w:t>parties</w:t>
      </w:r>
      <w:r w:rsidR="00380DC3" w:rsidRPr="00147936">
        <w:t>.</w:t>
      </w:r>
      <w:r w:rsidRPr="00147936">
        <w:t>)</w:t>
      </w:r>
      <w:r w:rsidR="0041468E" w:rsidRPr="00147936">
        <w:t xml:space="preserve"> </w:t>
      </w:r>
    </w:p>
    <w:p w:rsidR="00C40EA9" w:rsidRPr="00147936" w:rsidRDefault="008D55EB">
      <w:pPr>
        <w:pStyle w:val="NormalWeb"/>
      </w:pPr>
      <w:r w:rsidRPr="00147936">
        <w:t>Après avoir séjourné auprès d’Elisabeth pendant environ trois mois, Marie</w:t>
      </w:r>
      <w:r w:rsidR="00380DC3" w:rsidRPr="00147936">
        <w:t>,</w:t>
      </w:r>
      <w:r w:rsidRPr="00147936">
        <w:t xml:space="preserve"> qui est maintenant enceinte de trois mois, retourne chez elle à Nazareth. Dès son retour, elle se trouve confrontée à un problème évident : elle est enceinte </w:t>
      </w:r>
      <w:r w:rsidR="00734597">
        <w:t>et</w:t>
      </w:r>
      <w:r w:rsidRPr="00147936">
        <w:t xml:space="preserve"> Joseph sait qu’il n’est pas le père de l’enfant. Matthieu explique clairement que Marie et Joseph n’avaient pas </w:t>
      </w:r>
      <w:r w:rsidR="00155865">
        <w:t>eu de relations conjugales</w:t>
      </w:r>
      <w:r w:rsidRPr="00147936">
        <w:t xml:space="preserve"> avant la grossesse de Marie, lorsqu’il écrit : </w:t>
      </w:r>
      <w:r w:rsidR="00BB7FA9" w:rsidRPr="00147936">
        <w:rPr>
          <w:rStyle w:val="Emphasis"/>
        </w:rPr>
        <w:t>or, elle se trouva enceinte par l’action du Saint–Esprit, avant qu’ils n’aient vécu ensemble</w:t>
      </w:r>
      <w:r w:rsidR="0041468E" w:rsidRPr="00147936">
        <w:t>.</w:t>
      </w:r>
      <w:r w:rsidR="00BB7FA9" w:rsidRPr="00147936">
        <w:rPr>
          <w:rStyle w:val="EndnoteReference"/>
        </w:rPr>
        <w:endnoteReference w:id="27"/>
      </w:r>
    </w:p>
    <w:p w:rsidR="00C40EA9" w:rsidRPr="00147936" w:rsidRDefault="00677428">
      <w:pPr>
        <w:pStyle w:val="NormalWeb"/>
      </w:pPr>
      <w:r w:rsidRPr="00147936">
        <w:t>Quand il s’est rendu compte que Marie était enceinte et que l’enfant n’était pas de lui, on ose à peine imaginer la peine</w:t>
      </w:r>
      <w:r w:rsidR="00380DC3" w:rsidRPr="00147936">
        <w:t>,</w:t>
      </w:r>
      <w:r w:rsidRPr="00147936">
        <w:t xml:space="preserve"> la douleur</w:t>
      </w:r>
      <w:r w:rsidR="00380DC3" w:rsidRPr="00147936">
        <w:t>,</w:t>
      </w:r>
      <w:r w:rsidRPr="00147936">
        <w:t xml:space="preserve"> la tristesse, l’impression de trahison, et la colère qu’a dû ressentir Joseph. </w:t>
      </w:r>
      <w:r w:rsidR="00F60357" w:rsidRPr="00147936">
        <w:t>Matthieu</w:t>
      </w:r>
      <w:r w:rsidR="0041468E" w:rsidRPr="00147936">
        <w:t xml:space="preserve"> </w:t>
      </w:r>
      <w:r w:rsidR="005A4099" w:rsidRPr="00147936">
        <w:t>nous dit qu’</w:t>
      </w:r>
      <w:r w:rsidR="005A4099" w:rsidRPr="00147936">
        <w:rPr>
          <w:i/>
        </w:rPr>
        <w:t>il pesait le pour et le contre de cette éventualité</w:t>
      </w:r>
      <w:r w:rsidR="0041468E" w:rsidRPr="00147936">
        <w:t>.</w:t>
      </w:r>
      <w:r w:rsidR="005A4099" w:rsidRPr="00147936">
        <w:rPr>
          <w:rStyle w:val="EndnoteReference"/>
        </w:rPr>
        <w:endnoteReference w:id="28"/>
      </w:r>
    </w:p>
    <w:p w:rsidR="00C40EA9" w:rsidRPr="00147936" w:rsidRDefault="0041468E">
      <w:pPr>
        <w:pStyle w:val="NormalWeb"/>
      </w:pPr>
      <w:r w:rsidRPr="00147936">
        <w:t xml:space="preserve">Kenneth Bailey </w:t>
      </w:r>
      <w:r w:rsidR="00CD6AF7" w:rsidRPr="00147936">
        <w:t>a écrit</w:t>
      </w:r>
      <w:r w:rsidRPr="00147936">
        <w:t>:</w:t>
      </w:r>
    </w:p>
    <w:p w:rsidR="00C40EA9" w:rsidRPr="00147936" w:rsidRDefault="00DC64C1">
      <w:pPr>
        <w:pStyle w:val="indent"/>
      </w:pPr>
      <w:r w:rsidRPr="00147936">
        <w:rPr>
          <w:rStyle w:val="Emphasis"/>
        </w:rPr>
        <w:t xml:space="preserve">Le verbe grec qui a été traduit ici par “peser le pour et le contre” a deux sens. Bien </w:t>
      </w:r>
      <w:r w:rsidR="003133DB" w:rsidRPr="00147936">
        <w:rPr>
          <w:rStyle w:val="Emphasis"/>
        </w:rPr>
        <w:t>entendu</w:t>
      </w:r>
      <w:r w:rsidRPr="00147936">
        <w:rPr>
          <w:rStyle w:val="Emphasis"/>
        </w:rPr>
        <w:t>, le premier s</w:t>
      </w:r>
      <w:r w:rsidR="003133DB" w:rsidRPr="00147936">
        <w:rPr>
          <w:rStyle w:val="Emphasis"/>
        </w:rPr>
        <w:t>ens est</w:t>
      </w:r>
      <w:r w:rsidR="00D30408" w:rsidRPr="00147936">
        <w:rPr>
          <w:rStyle w:val="Emphasis"/>
        </w:rPr>
        <w:t> :</w:t>
      </w:r>
      <w:r w:rsidR="003133DB" w:rsidRPr="00147936">
        <w:rPr>
          <w:rStyle w:val="Emphasis"/>
        </w:rPr>
        <w:t xml:space="preserve"> </w:t>
      </w:r>
      <w:r w:rsidRPr="00147936">
        <w:rPr>
          <w:rStyle w:val="Emphasis"/>
        </w:rPr>
        <w:t>« il y réfléchissait/ il pesait le pour et le contre ». Mais le second sens est</w:t>
      </w:r>
      <w:r w:rsidR="00D30408" w:rsidRPr="00147936">
        <w:rPr>
          <w:rStyle w:val="Emphasis"/>
        </w:rPr>
        <w:t> :</w:t>
      </w:r>
      <w:r w:rsidRPr="00147936">
        <w:rPr>
          <w:rStyle w:val="Emphasis"/>
        </w:rPr>
        <w:t xml:space="preserve"> </w:t>
      </w:r>
      <w:r w:rsidR="003133DB" w:rsidRPr="00147936">
        <w:rPr>
          <w:rStyle w:val="Emphasis"/>
        </w:rPr>
        <w:t>« i</w:t>
      </w:r>
      <w:r w:rsidRPr="00147936">
        <w:rPr>
          <w:rStyle w:val="Emphasis"/>
        </w:rPr>
        <w:t xml:space="preserve">l </w:t>
      </w:r>
      <w:r w:rsidR="003133DB" w:rsidRPr="00147936">
        <w:rPr>
          <w:rStyle w:val="Emphasis"/>
        </w:rPr>
        <w:t>se mit en colère.</w:t>
      </w:r>
      <w:r w:rsidRPr="00147936">
        <w:rPr>
          <w:rStyle w:val="Emphasis"/>
        </w:rPr>
        <w:t> »</w:t>
      </w:r>
      <w:r w:rsidR="003133DB" w:rsidRPr="00147936">
        <w:rPr>
          <w:rStyle w:val="Emphasis"/>
        </w:rPr>
        <w:t xml:space="preserve"> Il était tout naturel qu’il ressente de la colère, n’est-ce pas? Quand il appr</w:t>
      </w:r>
      <w:r w:rsidR="00D30408" w:rsidRPr="00147936">
        <w:rPr>
          <w:rStyle w:val="Emphasis"/>
        </w:rPr>
        <w:t>it</w:t>
      </w:r>
      <w:r w:rsidR="003133DB" w:rsidRPr="00147936">
        <w:rPr>
          <w:rStyle w:val="Emphasis"/>
        </w:rPr>
        <w:t xml:space="preserve"> que sa fiancée est enceinte, </w:t>
      </w:r>
      <w:r w:rsidR="00AB1CE8" w:rsidRPr="00147936">
        <w:rPr>
          <w:rStyle w:val="Emphasis"/>
        </w:rPr>
        <w:t xml:space="preserve">allait-il tranquillement « peser le pour et le contre » ? Ou bien allait-il tout naturellement ressentir une cruelle déception et éprouver de la colère ? … Un sens littéral du mot grec désigne la colère qui s’empare de la personne en question … La tournure « alors qu’il bouillonnait de colère à cause de cela » </w:t>
      </w:r>
      <w:r w:rsidR="00734597">
        <w:rPr>
          <w:rStyle w:val="Emphasis"/>
        </w:rPr>
        <w:t xml:space="preserve">serait </w:t>
      </w:r>
      <w:r w:rsidR="00AB1CE8" w:rsidRPr="00147936">
        <w:rPr>
          <w:rStyle w:val="Emphasis"/>
        </w:rPr>
        <w:t xml:space="preserve">sans doute une traduction plus proche de l’original grec et </w:t>
      </w:r>
      <w:r w:rsidR="0093577F" w:rsidRPr="00147936">
        <w:rPr>
          <w:rStyle w:val="Emphasis"/>
        </w:rPr>
        <w:t>décrit p</w:t>
      </w:r>
      <w:r w:rsidR="00AB1CE8" w:rsidRPr="00147936">
        <w:rPr>
          <w:rStyle w:val="Emphasis"/>
        </w:rPr>
        <w:t>lus fidèle</w:t>
      </w:r>
      <w:r w:rsidR="0093577F" w:rsidRPr="00147936">
        <w:rPr>
          <w:rStyle w:val="Emphasis"/>
        </w:rPr>
        <w:t xml:space="preserve">ment </w:t>
      </w:r>
      <w:r w:rsidR="00AB1CE8" w:rsidRPr="00147936">
        <w:rPr>
          <w:rStyle w:val="Emphasis"/>
        </w:rPr>
        <w:t xml:space="preserve">l’authenticité de la scène </w:t>
      </w:r>
      <w:r w:rsidR="00734597">
        <w:rPr>
          <w:rStyle w:val="Emphasis"/>
        </w:rPr>
        <w:t>en question</w:t>
      </w:r>
      <w:r w:rsidR="00AB1CE8" w:rsidRPr="00147936">
        <w:rPr>
          <w:rStyle w:val="Emphasis"/>
        </w:rPr>
        <w:t>.</w:t>
      </w:r>
      <w:r w:rsidR="00A94742" w:rsidRPr="00147936">
        <w:rPr>
          <w:rStyle w:val="EndnoteReference"/>
        </w:rPr>
        <w:endnoteReference w:id="29"/>
      </w:r>
    </w:p>
    <w:p w:rsidR="00C40EA9" w:rsidRPr="00147936" w:rsidRDefault="003133DB">
      <w:pPr>
        <w:pStyle w:val="NormalWeb"/>
      </w:pPr>
      <w:r w:rsidRPr="00147936">
        <w:t xml:space="preserve">Dans l’esprit de Joseph, </w:t>
      </w:r>
      <w:r w:rsidR="00920A61" w:rsidRPr="00147936">
        <w:t>Marie</w:t>
      </w:r>
      <w:r w:rsidR="00920A61">
        <w:t>,</w:t>
      </w:r>
      <w:r w:rsidR="00920A61" w:rsidRPr="00147936">
        <w:t xml:space="preserve"> </w:t>
      </w:r>
      <w:r w:rsidRPr="00147936">
        <w:t>sa promise, avait commis l’adultère. En vertu de la loi de Moïse, elle encourait la mort par lapidation.</w:t>
      </w:r>
      <w:r w:rsidR="00A94742" w:rsidRPr="00147936">
        <w:rPr>
          <w:rStyle w:val="EndnoteReference"/>
        </w:rPr>
        <w:endnoteReference w:id="30"/>
      </w:r>
      <w:r w:rsidR="0041468E" w:rsidRPr="00147936">
        <w:t xml:space="preserve"> </w:t>
      </w:r>
      <w:r w:rsidR="003A310A" w:rsidRPr="00147936">
        <w:t>Mais</w:t>
      </w:r>
      <w:r w:rsidR="0041468E" w:rsidRPr="00147936">
        <w:t xml:space="preserve"> Joseph </w:t>
      </w:r>
      <w:r w:rsidR="003A310A" w:rsidRPr="00147936">
        <w:rPr>
          <w:rStyle w:val="Emphasis"/>
        </w:rPr>
        <w:t>ne voulait pas la livrer au déshonneur. C’est pourquoi il se proposa de rompre ses fiançailles sans en ébruiter la raison</w:t>
      </w:r>
      <w:r w:rsidR="0041468E" w:rsidRPr="00147936">
        <w:rPr>
          <w:rStyle w:val="Emphasis"/>
        </w:rPr>
        <w:t>.</w:t>
      </w:r>
      <w:r w:rsidR="003A310A" w:rsidRPr="00147936">
        <w:rPr>
          <w:rStyle w:val="EndnoteReference"/>
        </w:rPr>
        <w:endnoteReference w:id="31"/>
      </w:r>
      <w:r w:rsidR="0041468E" w:rsidRPr="00147936">
        <w:t xml:space="preserve"> </w:t>
      </w:r>
      <w:r w:rsidR="003A310A" w:rsidRPr="00147936">
        <w:t>Certaines traductions donnent « la répudier secrèt</w:t>
      </w:r>
      <w:r w:rsidR="00653BCC" w:rsidRPr="00147936">
        <w:t>e</w:t>
      </w:r>
      <w:r w:rsidR="003A310A" w:rsidRPr="00147936">
        <w:t xml:space="preserve">ment » ou « la renvoyer en secret ». </w:t>
      </w:r>
      <w:r w:rsidR="0041468E" w:rsidRPr="00147936">
        <w:t>I</w:t>
      </w:r>
      <w:r w:rsidR="001B5673" w:rsidRPr="00147936">
        <w:t xml:space="preserve">l n’était pas possible de divorcer en secret, </w:t>
      </w:r>
      <w:r w:rsidR="00773B9A">
        <w:t>vu</w:t>
      </w:r>
      <w:r w:rsidR="00B54AE5" w:rsidRPr="00147936">
        <w:t xml:space="preserve"> </w:t>
      </w:r>
      <w:r w:rsidR="001B5673" w:rsidRPr="00147936">
        <w:t xml:space="preserve">que la lettre ou le certificat de divorce devait être remis par le mari à la femme devant deux témoins. </w:t>
      </w:r>
      <w:r w:rsidR="00B54AE5" w:rsidRPr="00147936">
        <w:t>La honte de Marie ne pouvait pas non plus rester cachée indéfiniment, vu que sa grossesse allait bientôt devenir visible</w:t>
      </w:r>
      <w:r w:rsidR="00AE577F">
        <w:t xml:space="preserve"> ; </w:t>
      </w:r>
      <w:r w:rsidR="00B54AE5" w:rsidRPr="00147936">
        <w:t xml:space="preserve"> et quelle que soit la raison invoquée par Joseph pour divorce</w:t>
      </w:r>
      <w:r w:rsidR="00AE577F">
        <w:t>r</w:t>
      </w:r>
      <w:r w:rsidR="00B54AE5" w:rsidRPr="00147936">
        <w:t>, tout le monde en déduirait que la vrai</w:t>
      </w:r>
      <w:r w:rsidR="000B1358" w:rsidRPr="00147936">
        <w:t>e</w:t>
      </w:r>
      <w:r w:rsidR="00B54AE5" w:rsidRPr="00147936">
        <w:t xml:space="preserve"> raison était l</w:t>
      </w:r>
      <w:r w:rsidR="000B1358" w:rsidRPr="00147936">
        <w:t>’</w:t>
      </w:r>
      <w:r w:rsidR="00B54AE5" w:rsidRPr="00147936">
        <w:t xml:space="preserve">adultère. </w:t>
      </w:r>
      <w:r w:rsidR="0099498F" w:rsidRPr="00147936">
        <w:t xml:space="preserve">En disant que Joseph voulait </w:t>
      </w:r>
      <w:r w:rsidR="00FE0404" w:rsidRPr="00147936">
        <w:t xml:space="preserve">répudier Marie </w:t>
      </w:r>
      <w:r w:rsidR="0099498F" w:rsidRPr="00147936">
        <w:t>sans ébruiter l’affaire, Matthieu a sans doute voulu dire que Joseph n’avait pas l’intention d’accuser publiquement Marie d’adultère</w:t>
      </w:r>
      <w:r w:rsidR="00FE0404" w:rsidRPr="00147936">
        <w:t xml:space="preserve"> –</w:t>
      </w:r>
      <w:r w:rsidR="008A29D1">
        <w:t xml:space="preserve"> </w:t>
      </w:r>
      <w:r w:rsidR="00FE0404" w:rsidRPr="00147936">
        <w:t>ce qui aurait automatiquement entra</w:t>
      </w:r>
      <w:r w:rsidR="006113D0" w:rsidRPr="00147936">
        <w:t>î</w:t>
      </w:r>
      <w:r w:rsidR="00FE0404" w:rsidRPr="00147936">
        <w:t xml:space="preserve">né un procès – mais qu’il invoquerait un motif de divorce moins grave. Le terme </w:t>
      </w:r>
      <w:r w:rsidR="008A29D1">
        <w:t>« </w:t>
      </w:r>
      <w:r w:rsidR="00FE0404" w:rsidRPr="00147936">
        <w:t xml:space="preserve">rompre ses fiançailles sans en ébruiter la raison » peut signifier </w:t>
      </w:r>
      <w:r w:rsidR="008A29D1">
        <w:t xml:space="preserve">« la </w:t>
      </w:r>
      <w:r w:rsidR="00FE0404" w:rsidRPr="00147936">
        <w:t>répudier en faisant preuve d’indulgence</w:t>
      </w:r>
      <w:r w:rsidR="008A29D1">
        <w:t> »</w:t>
      </w:r>
      <w:r w:rsidR="00FE0404" w:rsidRPr="00147936">
        <w:t>.</w:t>
      </w:r>
      <w:r w:rsidR="00FE0404" w:rsidRPr="00147936">
        <w:rPr>
          <w:rStyle w:val="EndnoteReference"/>
        </w:rPr>
        <w:endnoteReference w:id="32"/>
      </w:r>
      <w:r w:rsidR="00FE0404" w:rsidRPr="00147936">
        <w:t xml:space="preserve"> Pour Joseph, un homme droit qui </w:t>
      </w:r>
      <w:r w:rsidR="005D6DED" w:rsidRPr="00147936">
        <w:t xml:space="preserve">observait les lois de Dieu, répudier Marie </w:t>
      </w:r>
      <w:r w:rsidR="006113D0" w:rsidRPr="00147936">
        <w:t xml:space="preserve">était la meilleure </w:t>
      </w:r>
      <w:r w:rsidR="00812A26">
        <w:t>solution</w:t>
      </w:r>
      <w:r w:rsidR="005D6DED" w:rsidRPr="00147936">
        <w:t xml:space="preserve">. Il voulait faire preuve de miséricorde et ne pas </w:t>
      </w:r>
      <w:r w:rsidR="008A29D1">
        <w:t xml:space="preserve">avoir à </w:t>
      </w:r>
      <w:r w:rsidR="005D6DED" w:rsidRPr="00147936">
        <w:t>invoquer l</w:t>
      </w:r>
      <w:r w:rsidR="008A29D1">
        <w:t>e motif d</w:t>
      </w:r>
      <w:r w:rsidR="005D6DED" w:rsidRPr="00147936">
        <w:t xml:space="preserve">’adultère, mais il avait </w:t>
      </w:r>
      <w:r w:rsidR="00C72DFB">
        <w:t xml:space="preserve">bien </w:t>
      </w:r>
      <w:r w:rsidR="005D6DED" w:rsidRPr="00147936">
        <w:t>l</w:t>
      </w:r>
      <w:r w:rsidR="00C72DFB">
        <w:t>’</w:t>
      </w:r>
      <w:r w:rsidR="005D6DED" w:rsidRPr="00147936">
        <w:t>intention de la répudier</w:t>
      </w:r>
      <w:r w:rsidR="005C2DCE" w:rsidRPr="00147936">
        <w:t xml:space="preserve"> </w:t>
      </w:r>
      <w:r w:rsidR="005D6DED" w:rsidRPr="00147936">
        <w:t xml:space="preserve">conformément à la loi. </w:t>
      </w:r>
    </w:p>
    <w:p w:rsidR="00C40EA9" w:rsidRPr="00147936" w:rsidRDefault="00D34B27" w:rsidP="00640FD1">
      <w:pPr>
        <w:pStyle w:val="NormalWeb"/>
      </w:pPr>
      <w:r w:rsidRPr="00147936">
        <w:t xml:space="preserve">On nous dit ensuite </w:t>
      </w:r>
      <w:r w:rsidR="0033421E" w:rsidRPr="00147936">
        <w:t>qu’</w:t>
      </w:r>
      <w:r w:rsidR="0033421E" w:rsidRPr="00147936">
        <w:rPr>
          <w:rStyle w:val="Emphasis"/>
        </w:rPr>
        <w:t xml:space="preserve">un ange du Seigneur lui apparut en rêve et lui dit : « Joseph, descendant de David, ne crains pas de prendre Marie pour femme, car l’enfant qu’elle porte vient de l’Esprit Saint. Elle donnera naissance à un fils, tu </w:t>
      </w:r>
      <w:r w:rsidR="00640FD1" w:rsidRPr="00147936">
        <w:rPr>
          <w:rStyle w:val="Emphasis"/>
        </w:rPr>
        <w:t>L</w:t>
      </w:r>
      <w:r w:rsidR="0033421E" w:rsidRPr="00147936">
        <w:rPr>
          <w:rStyle w:val="Emphasis"/>
        </w:rPr>
        <w:t xml:space="preserve">’appelleras Jésus. C’est </w:t>
      </w:r>
      <w:r w:rsidR="00640FD1" w:rsidRPr="00147936">
        <w:rPr>
          <w:rStyle w:val="Emphasis"/>
        </w:rPr>
        <w:t>L</w:t>
      </w:r>
      <w:r w:rsidR="0033421E" w:rsidRPr="00147936">
        <w:rPr>
          <w:rStyle w:val="Emphasis"/>
        </w:rPr>
        <w:t>ui, en effet, qui sauvera son peuple de ses péchés. »</w:t>
      </w:r>
      <w:r w:rsidR="0041468E" w:rsidRPr="00147936">
        <w:rPr>
          <w:rStyle w:val="Emphasis"/>
        </w:rPr>
        <w:t xml:space="preserve"> </w:t>
      </w:r>
      <w:r w:rsidR="00640FD1" w:rsidRPr="00147936">
        <w:rPr>
          <w:rStyle w:val="Emphasis"/>
        </w:rPr>
        <w:t>A son réveil, Joseph fit ce que l’ange du Seigneur lui avait commandé : il prit sa fiancée pour femme. Mais il n’eut pas de relations conjugales avec elle avant qu’elle ait mis au monde un fils, auquel il donna le nom de Jésus.</w:t>
      </w:r>
      <w:r w:rsidRPr="00147936">
        <w:rPr>
          <w:rStyle w:val="EndnoteReference"/>
        </w:rPr>
        <w:endnoteReference w:id="33"/>
      </w:r>
    </w:p>
    <w:p w:rsidR="00C40EA9" w:rsidRPr="00147936" w:rsidRDefault="00097533">
      <w:pPr>
        <w:pStyle w:val="NormalWeb"/>
      </w:pPr>
      <w:r w:rsidRPr="00147936">
        <w:t>Le m</w:t>
      </w:r>
      <w:r w:rsidR="0041468E" w:rsidRPr="00147936">
        <w:t xml:space="preserve">essage </w:t>
      </w:r>
      <w:r w:rsidRPr="00147936">
        <w:t>transmis en rêve à</w:t>
      </w:r>
      <w:r w:rsidR="0041468E" w:rsidRPr="00147936">
        <w:t xml:space="preserve"> Joseph </w:t>
      </w:r>
      <w:r w:rsidR="00812A26">
        <w:t xml:space="preserve">le fait renoncer </w:t>
      </w:r>
      <w:r w:rsidRPr="00147936">
        <w:t xml:space="preserve">à ses intentions de divorce et </w:t>
      </w:r>
      <w:r w:rsidR="00EA7DBE" w:rsidRPr="00147936">
        <w:t xml:space="preserve">à </w:t>
      </w:r>
      <w:r w:rsidRPr="00147936">
        <w:t>sa crainte de transgresser la loi de Moïse en épousant Marie.</w:t>
      </w:r>
      <w:r w:rsidR="005A6EA3" w:rsidRPr="00147936">
        <w:t xml:space="preserve"> L’ange déclare que l’enfant a été conçu du Saint-Esprit</w:t>
      </w:r>
      <w:r w:rsidR="00EA7DBE" w:rsidRPr="00147936">
        <w:t> ;</w:t>
      </w:r>
      <w:r w:rsidR="005A6EA3" w:rsidRPr="00147936">
        <w:t xml:space="preserve">  par conséquent</w:t>
      </w:r>
      <w:r w:rsidR="00EA7DBE" w:rsidRPr="00147936">
        <w:t>,</w:t>
      </w:r>
      <w:r w:rsidR="005A6EA3" w:rsidRPr="00147936">
        <w:t xml:space="preserve"> il n’a pas à </w:t>
      </w:r>
      <w:r w:rsidR="000A0DB4">
        <w:t>craindre</w:t>
      </w:r>
      <w:r w:rsidR="005A6EA3" w:rsidRPr="00147936">
        <w:t xml:space="preserve"> </w:t>
      </w:r>
      <w:r w:rsidR="00EA7DBE" w:rsidRPr="00147936">
        <w:t>d’enfreindre</w:t>
      </w:r>
      <w:r w:rsidR="005A6EA3" w:rsidRPr="00147936">
        <w:t xml:space="preserve"> la loi de Dieu en épousant Marie, puisqu’aucun adultère n’a été commis. Joseph comprend le message et décide de suivre le</w:t>
      </w:r>
      <w:r w:rsidR="00B051D2" w:rsidRPr="00147936">
        <w:t>s</w:t>
      </w:r>
      <w:r w:rsidR="00812A26">
        <w:t xml:space="preserve"> </w:t>
      </w:r>
      <w:r w:rsidR="005A6EA3" w:rsidRPr="00147936">
        <w:t>directives de l’ange.</w:t>
      </w:r>
    </w:p>
    <w:p w:rsidR="00C40EA9" w:rsidRPr="00147936" w:rsidRDefault="0041468E">
      <w:pPr>
        <w:pStyle w:val="NormalWeb"/>
      </w:pPr>
      <w:r w:rsidRPr="00147936">
        <w:t xml:space="preserve">Joseph </w:t>
      </w:r>
      <w:r w:rsidR="00120F32" w:rsidRPr="00147936">
        <w:t>s’acquitte ensuite de la seconde étape du mariage en em</w:t>
      </w:r>
      <w:r w:rsidR="008C0830" w:rsidRPr="00147936">
        <w:t>m</w:t>
      </w:r>
      <w:r w:rsidR="00120F32" w:rsidRPr="00147936">
        <w:t xml:space="preserve">enant Marie, devenue sa légitime épouse, assumant ainsi la responsabilité de Marie et de l’enfant qu’elle porte. </w:t>
      </w:r>
      <w:r w:rsidR="00886331" w:rsidRPr="00147936">
        <w:t xml:space="preserve">Après la naissance, </w:t>
      </w:r>
      <w:r w:rsidRPr="00147936">
        <w:t>Joseph n</w:t>
      </w:r>
      <w:r w:rsidR="00886331" w:rsidRPr="00147936">
        <w:t xml:space="preserve">omme l’enfant </w:t>
      </w:r>
      <w:r w:rsidRPr="00147936">
        <w:t>J</w:t>
      </w:r>
      <w:r w:rsidR="00886331" w:rsidRPr="00147936">
        <w:t>é</w:t>
      </w:r>
      <w:r w:rsidRPr="00147936">
        <w:t xml:space="preserve">sus, </w:t>
      </w:r>
      <w:r w:rsidR="00886331" w:rsidRPr="00147936">
        <w:t xml:space="preserve">comme l’ange le lui avait </w:t>
      </w:r>
      <w:r w:rsidRPr="00147936">
        <w:t>command</w:t>
      </w:r>
      <w:r w:rsidR="00886331" w:rsidRPr="00147936">
        <w:t xml:space="preserve">é. En nommant l’enfant, </w:t>
      </w:r>
      <w:r w:rsidRPr="00147936">
        <w:t xml:space="preserve">Joseph </w:t>
      </w:r>
      <w:r w:rsidR="00886331" w:rsidRPr="00147936">
        <w:t>reconnaît l’enfant comme le sien. La loi juive fondait la paternité sur la reconnaissance de l’enfant par le père. En exerçant le droit du père à nommer l’enfant, J</w:t>
      </w:r>
      <w:r w:rsidRPr="00147936">
        <w:t xml:space="preserve">oseph </w:t>
      </w:r>
      <w:r w:rsidR="00886331" w:rsidRPr="00147936">
        <w:t>reconnaît l’enfant de sa femme comme son fils légitime et devient ainsi le père légal de Jésus.</w:t>
      </w:r>
      <w:r w:rsidR="00BA3F04" w:rsidRPr="00147936">
        <w:rPr>
          <w:rStyle w:val="EndnoteReference"/>
        </w:rPr>
        <w:endnoteReference w:id="34"/>
      </w:r>
    </w:p>
    <w:p w:rsidR="000E31A5" w:rsidRPr="00147936" w:rsidRDefault="000E31A5" w:rsidP="000E31A5">
      <w:pPr>
        <w:pStyle w:val="NormalWeb"/>
      </w:pPr>
      <w:r w:rsidRPr="00147936">
        <w:t xml:space="preserve">Même après </w:t>
      </w:r>
      <w:r w:rsidR="008C0830" w:rsidRPr="00147936">
        <w:t>que J</w:t>
      </w:r>
      <w:r w:rsidR="0041468E" w:rsidRPr="00147936">
        <w:t xml:space="preserve">oseph </w:t>
      </w:r>
      <w:r w:rsidRPr="00147936">
        <w:t>eut</w:t>
      </w:r>
      <w:r w:rsidR="008C0830" w:rsidRPr="00147936">
        <w:t xml:space="preserve"> </w:t>
      </w:r>
      <w:r w:rsidRPr="00147936">
        <w:t>emmené</w:t>
      </w:r>
      <w:r w:rsidR="008C0830" w:rsidRPr="00147936">
        <w:t xml:space="preserve"> Marie chez lui comme sa légitime épouse, ils n’eurent </w:t>
      </w:r>
      <w:r w:rsidR="007946A1">
        <w:t>pas de</w:t>
      </w:r>
      <w:r w:rsidR="008C0830" w:rsidRPr="00147936">
        <w:t xml:space="preserve"> rapport</w:t>
      </w:r>
      <w:r w:rsidR="007946A1">
        <w:t>s</w:t>
      </w:r>
      <w:r w:rsidR="008C0830" w:rsidRPr="00147936">
        <w:t xml:space="preserve"> sexuel</w:t>
      </w:r>
      <w:r w:rsidR="007946A1">
        <w:t>s</w:t>
      </w:r>
      <w:r w:rsidR="008C0830" w:rsidRPr="00147936">
        <w:t xml:space="preserve"> a</w:t>
      </w:r>
      <w:r w:rsidR="007946A1">
        <w:t>vant l</w:t>
      </w:r>
      <w:r w:rsidR="008C0830" w:rsidRPr="00147936">
        <w:t xml:space="preserve">a naissance de Jésus. </w:t>
      </w:r>
      <w:r w:rsidR="00F60357" w:rsidRPr="00147936">
        <w:t>Matthieu</w:t>
      </w:r>
      <w:r w:rsidR="0041468E" w:rsidRPr="00147936">
        <w:t xml:space="preserve"> </w:t>
      </w:r>
      <w:r w:rsidR="008C0830" w:rsidRPr="00147936">
        <w:t>écrit qu’</w:t>
      </w:r>
      <w:r w:rsidR="00B028CB" w:rsidRPr="00147936">
        <w:rPr>
          <w:rStyle w:val="Emphasis"/>
        </w:rPr>
        <w:t>il n’eut pas de relations conjugales avec elle avant qu’elle ait mis au monde un fils.</w:t>
      </w:r>
      <w:r w:rsidR="00B028CB" w:rsidRPr="00147936">
        <w:rPr>
          <w:rStyle w:val="EndnoteReference"/>
        </w:rPr>
        <w:endnoteReference w:id="35"/>
      </w:r>
      <w:r w:rsidR="0041468E" w:rsidRPr="00147936">
        <w:t xml:space="preserve"> </w:t>
      </w:r>
      <w:r w:rsidRPr="00147936">
        <w:t>Le mot grec qui a été traduit par « conn</w:t>
      </w:r>
      <w:r w:rsidR="008F023E" w:rsidRPr="00147936">
        <w:t xml:space="preserve">aître </w:t>
      </w:r>
      <w:r w:rsidRPr="00147936">
        <w:t>»</w:t>
      </w:r>
      <w:r w:rsidR="00373B64" w:rsidRPr="00147936">
        <w:t>,</w:t>
      </w:r>
      <w:r w:rsidRPr="00147936">
        <w:t xml:space="preserve"> dans </w:t>
      </w:r>
      <w:r w:rsidR="001D798F" w:rsidRPr="00147936">
        <w:t xml:space="preserve">les anciennes versions de la </w:t>
      </w:r>
      <w:r w:rsidRPr="00147936">
        <w:t>Bible</w:t>
      </w:r>
      <w:r w:rsidRPr="00147936">
        <w:rPr>
          <w:rStyle w:val="FootnoteReference"/>
        </w:rPr>
        <w:footnoteReference w:id="1"/>
      </w:r>
      <w:r w:rsidR="00373B64" w:rsidRPr="00147936">
        <w:t>,</w:t>
      </w:r>
      <w:r w:rsidRPr="00147936">
        <w:t xml:space="preserve"> est une tournure qui signifiait « </w:t>
      </w:r>
      <w:r w:rsidR="001D798F" w:rsidRPr="00147936">
        <w:t>avoir des rappo</w:t>
      </w:r>
      <w:r w:rsidRPr="00147936">
        <w:t>rts sexuels</w:t>
      </w:r>
      <w:r w:rsidR="008204EE" w:rsidRPr="00147936">
        <w:t> »</w:t>
      </w:r>
      <w:r w:rsidR="001D798F" w:rsidRPr="00147936">
        <w:t xml:space="preserve"> ou </w:t>
      </w:r>
      <w:r w:rsidR="008204EE" w:rsidRPr="00147936">
        <w:t xml:space="preserve">« avoir </w:t>
      </w:r>
      <w:r w:rsidR="001D798F" w:rsidRPr="00147936">
        <w:t>des relations conjugales</w:t>
      </w:r>
      <w:r w:rsidRPr="00147936">
        <w:t xml:space="preserve"> ». </w:t>
      </w:r>
      <w:r w:rsidR="008F023E" w:rsidRPr="00147936">
        <w:t>L’interprétation gé</w:t>
      </w:r>
      <w:r w:rsidR="0041468E" w:rsidRPr="00147936">
        <w:t>n</w:t>
      </w:r>
      <w:r w:rsidR="008F023E" w:rsidRPr="00147936">
        <w:t>é</w:t>
      </w:r>
      <w:r w:rsidR="0041468E" w:rsidRPr="00147936">
        <w:t>ral</w:t>
      </w:r>
      <w:r w:rsidR="008F023E" w:rsidRPr="00147936">
        <w:t>e</w:t>
      </w:r>
      <w:r w:rsidR="0041468E" w:rsidRPr="00147936">
        <w:t xml:space="preserve"> </w:t>
      </w:r>
      <w:r w:rsidR="00373B64" w:rsidRPr="00147936">
        <w:t>p</w:t>
      </w:r>
      <w:r w:rsidR="0041468E" w:rsidRPr="00147936">
        <w:t>rotestant</w:t>
      </w:r>
      <w:r w:rsidR="008F023E" w:rsidRPr="00147936">
        <w:t>e</w:t>
      </w:r>
      <w:r w:rsidR="0041468E" w:rsidRPr="00147936">
        <w:t xml:space="preserve"> </w:t>
      </w:r>
      <w:r w:rsidR="008F023E" w:rsidRPr="00147936">
        <w:t>est que</w:t>
      </w:r>
      <w:r w:rsidR="001D798F" w:rsidRPr="00147936">
        <w:t>,</w:t>
      </w:r>
      <w:r w:rsidR="008F023E" w:rsidRPr="00147936">
        <w:t xml:space="preserve"> bien qu’ils n’aient pas eu de rapports sexuels avant la naissance de Jésus, par la suite ils furent mari et femme dans tous les sens du terme</w:t>
      </w:r>
      <w:r w:rsidR="0041468E" w:rsidRPr="00147936">
        <w:t>.</w:t>
      </w:r>
      <w:r w:rsidR="00BA3F04" w:rsidRPr="00147936">
        <w:rPr>
          <w:rStyle w:val="EndnoteReference"/>
        </w:rPr>
        <w:endnoteReference w:id="36"/>
      </w:r>
      <w:r w:rsidR="0041468E" w:rsidRPr="00147936">
        <w:t xml:space="preserve"> </w:t>
      </w:r>
      <w:r w:rsidR="00C3283E" w:rsidRPr="00147936">
        <w:t>Les quatre Evangiles font tous mention des frères</w:t>
      </w:r>
      <w:r w:rsidR="00C3283E" w:rsidRPr="00147936">
        <w:rPr>
          <w:rStyle w:val="EndnoteReference"/>
        </w:rPr>
        <w:endnoteReference w:id="37"/>
      </w:r>
      <w:r w:rsidR="00BA3BE8">
        <w:t xml:space="preserve"> </w:t>
      </w:r>
      <w:r w:rsidR="00C3283E" w:rsidRPr="00147936">
        <w:t xml:space="preserve">de Jésus, et Marc, en particulier, donne les noms de ses frères et mentionne également </w:t>
      </w:r>
      <w:r w:rsidR="00FE4725">
        <w:t>s</w:t>
      </w:r>
      <w:r w:rsidR="00C3283E" w:rsidRPr="00147936">
        <w:t>es sœurs.</w:t>
      </w:r>
      <w:r w:rsidRPr="00147936">
        <w:t xml:space="preserve"> </w:t>
      </w:r>
    </w:p>
    <w:p w:rsidR="00C40EA9" w:rsidRPr="00147936" w:rsidRDefault="000318EB" w:rsidP="000E31A5">
      <w:pPr>
        <w:pStyle w:val="NormalWeb"/>
      </w:pPr>
      <w:r w:rsidRPr="00147936">
        <w:t>« </w:t>
      </w:r>
      <w:r w:rsidRPr="00147936">
        <w:rPr>
          <w:rStyle w:val="Emphasis"/>
        </w:rPr>
        <w:t>N’est–ce pas Lui le charpentier, le fils de Marie, et le frère de Jacques, de Joses, de Jude et de Simon ? Et ses sœurs ne vivent–elles pas ici parmi nous ? » Et cela les empêchait de croire en Lui.</w:t>
      </w:r>
      <w:r w:rsidRPr="00147936">
        <w:rPr>
          <w:rStyle w:val="EndnoteReference"/>
        </w:rPr>
        <w:endnoteReference w:id="38"/>
      </w:r>
    </w:p>
    <w:p w:rsidR="00C40EA9" w:rsidRPr="00147936" w:rsidRDefault="00485ED0">
      <w:pPr>
        <w:pStyle w:val="NormalWeb"/>
      </w:pPr>
      <w:r w:rsidRPr="00147936">
        <w:t xml:space="preserve">D’aucuns </w:t>
      </w:r>
      <w:r w:rsidR="002A34CE" w:rsidRPr="00147936">
        <w:t xml:space="preserve">prétendent </w:t>
      </w:r>
      <w:r w:rsidRPr="00147936">
        <w:t>qu’il s’agissait des enfants de Joseph issus d’un premier mariage</w:t>
      </w:r>
      <w:r w:rsidR="003220AA" w:rsidRPr="00147936">
        <w:t>,</w:t>
      </w:r>
      <w:r w:rsidRPr="00147936">
        <w:t xml:space="preserve"> et qu’il </w:t>
      </w:r>
      <w:r w:rsidR="00F52601">
        <w:t>av</w:t>
      </w:r>
      <w:r w:rsidRPr="00147936">
        <w:t xml:space="preserve">ait </w:t>
      </w:r>
      <w:r w:rsidR="00F52601">
        <w:t xml:space="preserve">été </w:t>
      </w:r>
      <w:r w:rsidRPr="00147936">
        <w:t xml:space="preserve">veuf avant d’être fiancé à Marie. </w:t>
      </w:r>
      <w:r w:rsidR="002A34CE">
        <w:t>Mais i</w:t>
      </w:r>
      <w:r w:rsidRPr="00147936">
        <w:t>l est plus probable que Marie et Joseph</w:t>
      </w:r>
      <w:r w:rsidR="00062689" w:rsidRPr="00147936">
        <w:t xml:space="preserve"> ont eu un mariage normal</w:t>
      </w:r>
      <w:r w:rsidR="003220AA" w:rsidRPr="00147936">
        <w:t>,</w:t>
      </w:r>
      <w:r w:rsidR="00062689" w:rsidRPr="00147936">
        <w:t xml:space="preserve"> après la naissance de Jésus</w:t>
      </w:r>
      <w:r w:rsidR="003220AA" w:rsidRPr="00147936">
        <w:t>,</w:t>
      </w:r>
      <w:r w:rsidR="00062689" w:rsidRPr="00147936">
        <w:t xml:space="preserve"> et qu’ils ont élevé au moins sept enfants, dont </w:t>
      </w:r>
      <w:r w:rsidR="003220AA" w:rsidRPr="00147936">
        <w:t>J</w:t>
      </w:r>
      <w:r w:rsidR="00062689" w:rsidRPr="00147936">
        <w:t>ésus était l’aîné. Il était sans doute notoire</w:t>
      </w:r>
      <w:r w:rsidR="003220AA" w:rsidRPr="00147936">
        <w:t>,</w:t>
      </w:r>
      <w:r w:rsidR="00062689" w:rsidRPr="00147936">
        <w:t xml:space="preserve"> à Nazareth</w:t>
      </w:r>
      <w:r w:rsidR="003220AA" w:rsidRPr="00147936">
        <w:t>,</w:t>
      </w:r>
      <w:r w:rsidR="00062689" w:rsidRPr="00147936">
        <w:t xml:space="preserve"> que Marie </w:t>
      </w:r>
      <w:r w:rsidR="001F3335" w:rsidRPr="00147936">
        <w:t>était</w:t>
      </w:r>
      <w:r w:rsidR="00062689" w:rsidRPr="00147936">
        <w:t xml:space="preserve"> tombée enceinte de Jésus avant de faire vie commune avec Joseph, vu que l’enfant serait né moins de neuf mois après l’installation de Marie </w:t>
      </w:r>
      <w:r w:rsidR="00F52601">
        <w:t xml:space="preserve">chez </w:t>
      </w:r>
      <w:r w:rsidR="00062689" w:rsidRPr="00147936">
        <w:t xml:space="preserve">Joseph. On ne nous dit pas précisément quelle était l’attitude des gens de Nazareth envers Marie et Jésus, mais </w:t>
      </w:r>
      <w:r w:rsidR="00A9043B" w:rsidRPr="00147936">
        <w:t>nous en avons peut-être un aperçu plus tard</w:t>
      </w:r>
      <w:r w:rsidR="007A76DC" w:rsidRPr="00147936">
        <w:t>,</w:t>
      </w:r>
      <w:r w:rsidR="00A9043B" w:rsidRPr="00147936">
        <w:t xml:space="preserve"> lorsque des </w:t>
      </w:r>
      <w:r w:rsidR="007A76DC" w:rsidRPr="00147936">
        <w:t>J</w:t>
      </w:r>
      <w:r w:rsidR="00A9043B" w:rsidRPr="00147936">
        <w:t xml:space="preserve">uifs se moquèrent </w:t>
      </w:r>
      <w:r w:rsidR="002309CD" w:rsidRPr="00147936">
        <w:t>de Jésus</w:t>
      </w:r>
      <w:r w:rsidR="002309CD" w:rsidRPr="00147936">
        <w:t xml:space="preserve"> </w:t>
      </w:r>
      <w:r w:rsidR="00A9043B" w:rsidRPr="00147936">
        <w:t xml:space="preserve">en disant </w:t>
      </w:r>
      <w:r w:rsidR="00F7779B" w:rsidRPr="00147936">
        <w:t xml:space="preserve">: </w:t>
      </w:r>
      <w:r w:rsidR="00A9043B" w:rsidRPr="00147936">
        <w:t>« </w:t>
      </w:r>
      <w:r w:rsidR="00F7779B" w:rsidRPr="00147936">
        <w:rPr>
          <w:rStyle w:val="Emphasis"/>
        </w:rPr>
        <w:t>Nous ne sommes pas des enfants illégitimes. Nous n’avons qu’un seul Père : Dieu !</w:t>
      </w:r>
      <w:r w:rsidR="00A9043B" w:rsidRPr="00147936">
        <w:rPr>
          <w:rStyle w:val="Emphasis"/>
        </w:rPr>
        <w:t> »</w:t>
      </w:r>
      <w:r w:rsidR="00F7779B" w:rsidRPr="00147936">
        <w:rPr>
          <w:rStyle w:val="EndnoteReference"/>
          <w:i/>
          <w:iCs/>
        </w:rPr>
        <w:endnoteReference w:id="39"/>
      </w:r>
    </w:p>
    <w:p w:rsidR="00C40EA9" w:rsidRPr="00147936" w:rsidRDefault="00F62B16">
      <w:pPr>
        <w:pStyle w:val="NormalWeb"/>
      </w:pPr>
      <w:r w:rsidRPr="00147936">
        <w:t xml:space="preserve">Les Evangiles de </w:t>
      </w:r>
      <w:r w:rsidR="00F60357" w:rsidRPr="00147936">
        <w:t>Matthieu</w:t>
      </w:r>
      <w:r w:rsidR="0041468E" w:rsidRPr="00147936">
        <w:t xml:space="preserve"> </w:t>
      </w:r>
      <w:r w:rsidRPr="00147936">
        <w:t>et de</w:t>
      </w:r>
      <w:r w:rsidR="0041468E" w:rsidRPr="00147936">
        <w:t xml:space="preserve"> </w:t>
      </w:r>
      <w:r w:rsidR="00F60357" w:rsidRPr="00147936">
        <w:t>Luc</w:t>
      </w:r>
      <w:r w:rsidRPr="00147936">
        <w:t xml:space="preserve"> rapportent que </w:t>
      </w:r>
      <w:r w:rsidR="0041468E" w:rsidRPr="00147936">
        <w:t>Mar</w:t>
      </w:r>
      <w:r w:rsidRPr="00147936">
        <w:t xml:space="preserve">ie </w:t>
      </w:r>
      <w:r w:rsidR="0041468E" w:rsidRPr="00147936">
        <w:t>con</w:t>
      </w:r>
      <w:r w:rsidRPr="00147936">
        <w:t xml:space="preserve">çut Jésus sans intervention </w:t>
      </w:r>
      <w:r w:rsidR="0041468E" w:rsidRPr="00147936">
        <w:t>huma</w:t>
      </w:r>
      <w:r w:rsidRPr="00147936">
        <w:t>ine</w:t>
      </w:r>
      <w:r w:rsidR="0041468E" w:rsidRPr="00147936">
        <w:t xml:space="preserve">, </w:t>
      </w:r>
      <w:r w:rsidRPr="00147936">
        <w:t xml:space="preserve">par un acte du Saint-Esprit. </w:t>
      </w:r>
      <w:r w:rsidR="0041468E" w:rsidRPr="00147936">
        <w:t>Mar</w:t>
      </w:r>
      <w:r w:rsidRPr="00147936">
        <w:t xml:space="preserve">ie et </w:t>
      </w:r>
      <w:r w:rsidR="0041468E" w:rsidRPr="00147936">
        <w:t xml:space="preserve">Joseph </w:t>
      </w:r>
      <w:r w:rsidRPr="00147936">
        <w:t xml:space="preserve">durent tous deux prendre une décision fondée sur leur foi. Pour </w:t>
      </w:r>
      <w:r w:rsidR="0041468E" w:rsidRPr="00147936">
        <w:t>Mar</w:t>
      </w:r>
      <w:r w:rsidRPr="00147936">
        <w:t xml:space="preserve">ie, il s’agissait de croire ce que l’ange lui avait annoncé, et d’accepter la mission d’être la mère du Messie, le Fils unique engendré de Dieu. Pour </w:t>
      </w:r>
      <w:r w:rsidR="0041468E" w:rsidRPr="00147936">
        <w:t xml:space="preserve">Joseph, </w:t>
      </w:r>
      <w:r w:rsidRPr="00147936">
        <w:t xml:space="preserve">c’était de croire ce que l’ange lui avait révélé dans son rêve, en l’occurrence que l’enfant était conçu du Saint-Esprit, par un acte de Dieu. Par leurs décisions respectives, Marie et Joseph montrèrent tous deux leur grand amour pour Dieu et leur confiance en </w:t>
      </w:r>
      <w:r w:rsidR="00D24DEE" w:rsidRPr="00147936">
        <w:t>Lui</w:t>
      </w:r>
      <w:r w:rsidRPr="00147936">
        <w:t xml:space="preserve">. C’était des personnes d’une grande foi, et </w:t>
      </w:r>
      <w:r w:rsidR="00393EAB" w:rsidRPr="00147936">
        <w:t>de toute évidence</w:t>
      </w:r>
      <w:r w:rsidR="00D24DEE" w:rsidRPr="00147936">
        <w:t>,</w:t>
      </w:r>
      <w:r w:rsidR="00393EAB" w:rsidRPr="00147936">
        <w:t xml:space="preserve"> c’était eux qui avaient été choisis par Dieu pour élever Jésus. </w:t>
      </w:r>
    </w:p>
    <w:p w:rsidR="00C40EA9" w:rsidRPr="00147936" w:rsidRDefault="00297D61">
      <w:r>
        <w:pict>
          <v:rect id="_x0000_i1025" style="width:0;height:1.5pt" o:hralign="center" o:hrstd="t" o:hr="t" fillcolor="#a0a0a0" stroked="f"/>
        </w:pict>
      </w:r>
    </w:p>
    <w:p w:rsidR="00C40EA9" w:rsidRPr="00147936" w:rsidRDefault="0041468E">
      <w:pPr>
        <w:pStyle w:val="NormalWeb"/>
      </w:pPr>
      <w:r w:rsidRPr="00147936">
        <w:rPr>
          <w:rStyle w:val="Strong"/>
        </w:rPr>
        <w:t>N</w:t>
      </w:r>
      <w:r w:rsidR="00371C65" w:rsidRPr="00147936">
        <w:rPr>
          <w:rStyle w:val="Strong"/>
        </w:rPr>
        <w:t xml:space="preserve">B: </w:t>
      </w:r>
    </w:p>
    <w:p w:rsidR="00C40EA9" w:rsidRPr="00147936" w:rsidRDefault="00371C65" w:rsidP="00371C65">
      <w:pPr>
        <w:pStyle w:val="NormalWeb"/>
      </w:pPr>
      <w:r w:rsidRPr="00147936">
        <w:t xml:space="preserve">Sauf indication contraire, les passages bibliques cités sont extraits de la Sainte Bible, version du Semeur, </w:t>
      </w:r>
      <w:r w:rsidR="0041468E" w:rsidRPr="00147936">
        <w:t>copyright © 200</w:t>
      </w:r>
      <w:r w:rsidRPr="00147936">
        <w:t xml:space="preserve">0 par </w:t>
      </w:r>
      <w:r w:rsidR="0041468E" w:rsidRPr="00147936">
        <w:t xml:space="preserve"> </w:t>
      </w:r>
      <w:r w:rsidRPr="00147936">
        <w:t>Société Biblique Internationale. Tous droits réservés. Avec permission. Les autres versions citées sont la Bible en français courant (BFC)</w:t>
      </w:r>
      <w:r w:rsidR="00D34B27" w:rsidRPr="00147936">
        <w:t xml:space="preserve">, </w:t>
      </w:r>
      <w:r w:rsidRPr="00147936">
        <w:t>la Parole de Vie (PDV)</w:t>
      </w:r>
      <w:r w:rsidR="00D34B27" w:rsidRPr="00147936">
        <w:t>, et </w:t>
      </w:r>
      <w:r w:rsidR="00A83016" w:rsidRPr="00147936">
        <w:t>Parole vivante</w:t>
      </w:r>
      <w:r w:rsidR="00D34B27" w:rsidRPr="00147936">
        <w:t xml:space="preserve"> (PVV)</w:t>
      </w:r>
      <w:r w:rsidRPr="00147936">
        <w:t xml:space="preserve">. </w:t>
      </w:r>
      <w:r w:rsidR="00297D61">
        <w:pict>
          <v:rect id="_x0000_i1026" style="width:0;height:1.5pt" o:hralign="center" o:hrstd="t" o:hr="t" fillcolor="#a0a0a0" stroked="f"/>
        </w:pict>
      </w:r>
    </w:p>
    <w:p w:rsidR="00C40EA9" w:rsidRPr="00147936" w:rsidRDefault="0041468E">
      <w:pPr>
        <w:pStyle w:val="NormalWeb"/>
      </w:pPr>
      <w:r w:rsidRPr="00147936">
        <w:rPr>
          <w:rStyle w:val="Strong"/>
        </w:rPr>
        <w:t>Bibliograph</w:t>
      </w:r>
      <w:r w:rsidR="00BE3179" w:rsidRPr="00147936">
        <w:rPr>
          <w:rStyle w:val="Strong"/>
        </w:rPr>
        <w:t>ie générale</w:t>
      </w:r>
      <w:r w:rsidR="00D41DD5" w:rsidRPr="00147936">
        <w:rPr>
          <w:rStyle w:val="Strong"/>
        </w:rPr>
        <w:t> </w:t>
      </w:r>
    </w:p>
    <w:p w:rsidR="00C40EA9" w:rsidRPr="00147936" w:rsidRDefault="0041468E">
      <w:pPr>
        <w:pStyle w:val="NormalWeb"/>
      </w:pPr>
      <w:r w:rsidRPr="00147936">
        <w:t xml:space="preserve">Bailey, Kenneth E. </w:t>
      </w:r>
      <w:r w:rsidRPr="00147936">
        <w:rPr>
          <w:rStyle w:val="Emphasis"/>
        </w:rPr>
        <w:t>Jesus Through Middle Eastern Eyes</w:t>
      </w:r>
      <w:r w:rsidR="005A559B" w:rsidRPr="00147936">
        <w:rPr>
          <w:rStyle w:val="Emphasis"/>
        </w:rPr>
        <w:t xml:space="preserve"> [Jésus à travers le regard du Moyen-Orient]</w:t>
      </w:r>
      <w:r w:rsidRPr="00147936">
        <w:rPr>
          <w:rStyle w:val="Emphasis"/>
        </w:rPr>
        <w:t>.</w:t>
      </w:r>
      <w:r w:rsidRPr="00147936">
        <w:t xml:space="preserve"> Downers Grove: InterVarsity Press, 2008.</w:t>
      </w:r>
    </w:p>
    <w:p w:rsidR="00C40EA9" w:rsidRPr="00147936" w:rsidRDefault="0041468E">
      <w:pPr>
        <w:pStyle w:val="NormalWeb"/>
      </w:pPr>
      <w:r w:rsidRPr="00147936">
        <w:t xml:space="preserve">Biven, David. </w:t>
      </w:r>
      <w:r w:rsidR="00481D41" w:rsidRPr="00481D41">
        <w:rPr>
          <w:i/>
        </w:rPr>
        <w:t>New Light on the Difficult Words of Jesus</w:t>
      </w:r>
      <w:r w:rsidR="00481D41" w:rsidRPr="00481D41">
        <w:rPr>
          <w:rStyle w:val="Emphasis"/>
          <w:i w:val="0"/>
          <w:iCs w:val="0"/>
        </w:rPr>
        <w:t xml:space="preserve"> </w:t>
      </w:r>
      <w:r w:rsidR="00481D41">
        <w:rPr>
          <w:rStyle w:val="Emphasis"/>
        </w:rPr>
        <w:t>[N</w:t>
      </w:r>
      <w:r w:rsidR="001F3335" w:rsidRPr="00147936">
        <w:rPr>
          <w:rStyle w:val="Emphasis"/>
        </w:rPr>
        <w:t>ouvel</w:t>
      </w:r>
      <w:r w:rsidR="00D41DD5" w:rsidRPr="00147936">
        <w:rPr>
          <w:rStyle w:val="Emphasis"/>
        </w:rPr>
        <w:t xml:space="preserve"> éclairage sur les paroles difficiles de </w:t>
      </w:r>
      <w:r w:rsidRPr="00147936">
        <w:rPr>
          <w:rStyle w:val="Emphasis"/>
        </w:rPr>
        <w:t>J</w:t>
      </w:r>
      <w:r w:rsidR="00D41DD5" w:rsidRPr="00147936">
        <w:rPr>
          <w:rStyle w:val="Emphasis"/>
        </w:rPr>
        <w:t>é</w:t>
      </w:r>
      <w:r w:rsidRPr="00147936">
        <w:rPr>
          <w:rStyle w:val="Emphasis"/>
        </w:rPr>
        <w:t>sus</w:t>
      </w:r>
      <w:r w:rsidR="00481D41">
        <w:rPr>
          <w:rStyle w:val="Emphasis"/>
        </w:rPr>
        <w:t>]</w:t>
      </w:r>
      <w:r w:rsidRPr="00147936">
        <w:rPr>
          <w:rStyle w:val="Emphasis"/>
        </w:rPr>
        <w:t xml:space="preserve">. </w:t>
      </w:r>
      <w:r w:rsidRPr="00147936">
        <w:t>Holland: En-Gedi Resource Center, 2007.</w:t>
      </w:r>
    </w:p>
    <w:p w:rsidR="00C40EA9" w:rsidRPr="00147936" w:rsidRDefault="0041468E">
      <w:pPr>
        <w:pStyle w:val="NormalWeb"/>
        <w:rPr>
          <w:lang w:val="en-US"/>
        </w:rPr>
      </w:pPr>
      <w:r w:rsidRPr="00147936">
        <w:t xml:space="preserve">Bock, Darrell L. </w:t>
      </w:r>
      <w:r w:rsidRPr="00147936">
        <w:rPr>
          <w:rStyle w:val="Emphasis"/>
        </w:rPr>
        <w:t>Jesus According to Scripture</w:t>
      </w:r>
      <w:r w:rsidR="00955E00" w:rsidRPr="00147936">
        <w:rPr>
          <w:rStyle w:val="Emphasis"/>
        </w:rPr>
        <w:t xml:space="preserve"> [Jésus d’après les Ecritures]</w:t>
      </w:r>
      <w:r w:rsidRPr="00147936">
        <w:rPr>
          <w:rStyle w:val="Emphasis"/>
        </w:rPr>
        <w:t>.</w:t>
      </w:r>
      <w:r w:rsidRPr="00147936">
        <w:t xml:space="preserve"> </w:t>
      </w:r>
      <w:r w:rsidRPr="00147936">
        <w:rPr>
          <w:lang w:val="en-US"/>
        </w:rPr>
        <w:t>Grand Rapids: Baker Academic, 2002.</w:t>
      </w:r>
    </w:p>
    <w:p w:rsidR="00C40EA9" w:rsidRPr="00147936" w:rsidRDefault="0041468E">
      <w:pPr>
        <w:pStyle w:val="NormalWeb"/>
        <w:rPr>
          <w:lang w:val="en-US"/>
        </w:rPr>
      </w:pPr>
      <w:r w:rsidRPr="00147936">
        <w:rPr>
          <w:lang w:val="en-US"/>
        </w:rPr>
        <w:t xml:space="preserve">Brown, Raymond E. </w:t>
      </w:r>
      <w:r w:rsidRPr="00147936">
        <w:rPr>
          <w:rStyle w:val="Emphasis"/>
          <w:lang w:val="en-US"/>
        </w:rPr>
        <w:t>The Birth of the Messiah</w:t>
      </w:r>
      <w:r w:rsidR="00D41DD5" w:rsidRPr="00147936">
        <w:rPr>
          <w:rStyle w:val="Emphasis"/>
          <w:lang w:val="en-US"/>
        </w:rPr>
        <w:t xml:space="preserve"> </w:t>
      </w:r>
      <w:r w:rsidR="00955E00" w:rsidRPr="00147936">
        <w:rPr>
          <w:rStyle w:val="Emphasis"/>
          <w:lang w:val="en-US"/>
        </w:rPr>
        <w:t>[La naissance du Messie]</w:t>
      </w:r>
      <w:r w:rsidRPr="00147936">
        <w:rPr>
          <w:lang w:val="en-US"/>
        </w:rPr>
        <w:t>. New York: Doubleday, 1993.</w:t>
      </w:r>
    </w:p>
    <w:p w:rsidR="00C40EA9" w:rsidRPr="00147936" w:rsidRDefault="0041468E">
      <w:pPr>
        <w:pStyle w:val="NormalWeb"/>
        <w:rPr>
          <w:lang w:val="en-US"/>
        </w:rPr>
      </w:pPr>
      <w:r w:rsidRPr="00147936">
        <w:rPr>
          <w:lang w:val="en-US"/>
        </w:rPr>
        <w:t xml:space="preserve">Brown, Raymond E. </w:t>
      </w:r>
      <w:r w:rsidRPr="00147936">
        <w:rPr>
          <w:rStyle w:val="Emphasis"/>
          <w:lang w:val="en-US"/>
        </w:rPr>
        <w:t>The Death of the Messiah</w:t>
      </w:r>
      <w:r w:rsidRPr="00147936">
        <w:rPr>
          <w:rStyle w:val="Emphasis"/>
          <w:i w:val="0"/>
          <w:lang w:val="en-US"/>
        </w:rPr>
        <w:t>.</w:t>
      </w:r>
      <w:r w:rsidR="00D41DD5" w:rsidRPr="00147936">
        <w:rPr>
          <w:i/>
          <w:lang w:val="en-US"/>
        </w:rPr>
        <w:t>[La mort du Messie].</w:t>
      </w:r>
      <w:r w:rsidR="00D41DD5" w:rsidRPr="00147936">
        <w:rPr>
          <w:lang w:val="en-US"/>
        </w:rPr>
        <w:t xml:space="preserve"> </w:t>
      </w:r>
      <w:r w:rsidRPr="00147936">
        <w:rPr>
          <w:lang w:val="en-US"/>
        </w:rPr>
        <w:t>2 vols. New York: Doubleday, 1994.</w:t>
      </w:r>
    </w:p>
    <w:p w:rsidR="00C40EA9" w:rsidRPr="00147936" w:rsidRDefault="0041468E">
      <w:pPr>
        <w:pStyle w:val="NormalWeb"/>
        <w:rPr>
          <w:lang w:val="en-US"/>
        </w:rPr>
      </w:pPr>
      <w:r w:rsidRPr="00147936">
        <w:rPr>
          <w:lang w:val="en-US"/>
        </w:rPr>
        <w:t xml:space="preserve">Charlesworth, James H., ed. </w:t>
      </w:r>
      <w:r w:rsidRPr="00147936">
        <w:rPr>
          <w:rStyle w:val="Emphasis"/>
          <w:lang w:val="en-US"/>
        </w:rPr>
        <w:t>Jesus’ Jewishness, Exploring the Place of Jesus Within Early Judaism</w:t>
      </w:r>
      <w:r w:rsidR="001D0309" w:rsidRPr="00147936">
        <w:rPr>
          <w:rStyle w:val="Emphasis"/>
          <w:lang w:val="en-US"/>
        </w:rPr>
        <w:t xml:space="preserve">. </w:t>
      </w:r>
      <w:r w:rsidR="001D0309" w:rsidRPr="00147936">
        <w:rPr>
          <w:rStyle w:val="Emphasis"/>
        </w:rPr>
        <w:t>[La Judéité de Jésus: une analyse de la place de Jésus dans le judaïsme primitif]</w:t>
      </w:r>
      <w:r w:rsidRPr="00147936">
        <w:rPr>
          <w:rStyle w:val="Emphasis"/>
        </w:rPr>
        <w:t xml:space="preserve">. </w:t>
      </w:r>
      <w:r w:rsidRPr="00147936">
        <w:rPr>
          <w:lang w:val="en-US"/>
        </w:rPr>
        <w:t>New York: The Crossroad Publishing Company, 1997.</w:t>
      </w:r>
    </w:p>
    <w:p w:rsidR="00C40EA9" w:rsidRPr="00147936" w:rsidRDefault="0041468E">
      <w:pPr>
        <w:pStyle w:val="NormalWeb"/>
        <w:rPr>
          <w:lang w:val="en-US"/>
        </w:rPr>
      </w:pPr>
      <w:r w:rsidRPr="00147936">
        <w:rPr>
          <w:lang w:val="en-US"/>
        </w:rPr>
        <w:t xml:space="preserve">Edersheim, Alfred. </w:t>
      </w:r>
      <w:r w:rsidRPr="00147936">
        <w:rPr>
          <w:rStyle w:val="Emphasis"/>
          <w:lang w:val="en-US"/>
        </w:rPr>
        <w:t>The Life and Times of Jesus the Messiah</w:t>
      </w:r>
      <w:r w:rsidRPr="00147936">
        <w:rPr>
          <w:lang w:val="en-US"/>
        </w:rPr>
        <w:t xml:space="preserve">. </w:t>
      </w:r>
      <w:r w:rsidRPr="00147936">
        <w:t>Updated edition</w:t>
      </w:r>
      <w:r w:rsidR="001D0309" w:rsidRPr="00147936">
        <w:t xml:space="preserve">. </w:t>
      </w:r>
      <w:r w:rsidR="001D0309" w:rsidRPr="00147936">
        <w:rPr>
          <w:rStyle w:val="Emphasis"/>
        </w:rPr>
        <w:t>[La vie et l’époque de Jésus</w:t>
      </w:r>
      <w:r w:rsidR="001829E0" w:rsidRPr="00147936">
        <w:rPr>
          <w:rStyle w:val="Emphasis"/>
        </w:rPr>
        <w:t>]</w:t>
      </w:r>
      <w:r w:rsidR="001829E0" w:rsidRPr="00147936">
        <w:rPr>
          <w:rStyle w:val="Emphasis"/>
          <w:i w:val="0"/>
        </w:rPr>
        <w:t xml:space="preserve"> édition</w:t>
      </w:r>
      <w:r w:rsidR="001D0309" w:rsidRPr="00147936">
        <w:rPr>
          <w:rStyle w:val="Emphasis"/>
          <w:i w:val="0"/>
        </w:rPr>
        <w:t xml:space="preserve"> mise à jour</w:t>
      </w:r>
      <w:r w:rsidRPr="00147936">
        <w:t xml:space="preserve">. </w:t>
      </w:r>
      <w:r w:rsidRPr="00147936">
        <w:rPr>
          <w:lang w:val="en-US"/>
        </w:rPr>
        <w:t>Hendrickson Publishers, 1993.</w:t>
      </w:r>
    </w:p>
    <w:p w:rsidR="00C40EA9" w:rsidRPr="00147936" w:rsidRDefault="0041468E">
      <w:pPr>
        <w:pStyle w:val="NormalWeb"/>
        <w:rPr>
          <w:lang w:val="en-US"/>
        </w:rPr>
      </w:pPr>
      <w:r w:rsidRPr="00147936">
        <w:rPr>
          <w:lang w:val="en-US"/>
        </w:rPr>
        <w:t xml:space="preserve">Elwell, Walter A., and Robert W. Yarbrough. </w:t>
      </w:r>
      <w:r w:rsidRPr="00E52D5F">
        <w:rPr>
          <w:rStyle w:val="Emphasis"/>
          <w:lang w:val="en-US"/>
        </w:rPr>
        <w:t>Encountering the New Testament</w:t>
      </w:r>
      <w:r w:rsidR="000F41C1" w:rsidRPr="00E52D5F">
        <w:rPr>
          <w:rStyle w:val="Emphasis"/>
          <w:lang w:val="en-US"/>
        </w:rPr>
        <w:t xml:space="preserve"> [Rencontre avec l</w:t>
      </w:r>
      <w:r w:rsidR="001E2A8B" w:rsidRPr="00E52D5F">
        <w:rPr>
          <w:rStyle w:val="Emphasis"/>
          <w:lang w:val="en-US"/>
        </w:rPr>
        <w:t>e</w:t>
      </w:r>
      <w:r w:rsidR="000F41C1" w:rsidRPr="00E52D5F">
        <w:rPr>
          <w:rStyle w:val="Emphasis"/>
          <w:lang w:val="en-US"/>
        </w:rPr>
        <w:t xml:space="preserve"> Nouveau testament]</w:t>
      </w:r>
      <w:r w:rsidRPr="00E52D5F">
        <w:rPr>
          <w:rStyle w:val="Emphasis"/>
          <w:lang w:val="en-US"/>
        </w:rPr>
        <w:t xml:space="preserve">. </w:t>
      </w:r>
      <w:r w:rsidRPr="00147936">
        <w:rPr>
          <w:lang w:val="en-US"/>
        </w:rPr>
        <w:t>Grand Rapids: Baker Academic, 2005.</w:t>
      </w:r>
    </w:p>
    <w:p w:rsidR="00C40EA9" w:rsidRPr="00147936" w:rsidRDefault="0041468E">
      <w:pPr>
        <w:pStyle w:val="NormalWeb"/>
      </w:pPr>
      <w:r w:rsidRPr="00147936">
        <w:rPr>
          <w:lang w:val="en-US"/>
        </w:rPr>
        <w:t xml:space="preserve">Evans, Craig A. </w:t>
      </w:r>
      <w:r w:rsidRPr="00147936">
        <w:rPr>
          <w:rStyle w:val="Emphasis"/>
          <w:lang w:val="en-US"/>
        </w:rPr>
        <w:t xml:space="preserve">World Biblical Commentary: </w:t>
      </w:r>
      <w:r w:rsidR="00F60357" w:rsidRPr="00147936">
        <w:rPr>
          <w:rStyle w:val="Emphasis"/>
          <w:lang w:val="en-US"/>
        </w:rPr>
        <w:t>Mar</w:t>
      </w:r>
      <w:r w:rsidR="000F41C1" w:rsidRPr="00147936">
        <w:rPr>
          <w:rStyle w:val="Emphasis"/>
          <w:lang w:val="en-US"/>
        </w:rPr>
        <w:t>k</w:t>
      </w:r>
      <w:r w:rsidRPr="00147936">
        <w:rPr>
          <w:rStyle w:val="Emphasis"/>
          <w:lang w:val="en-US"/>
        </w:rPr>
        <w:t xml:space="preserve"> 8:27–16:20. </w:t>
      </w:r>
      <w:r w:rsidR="000F41C1" w:rsidRPr="00147936">
        <w:rPr>
          <w:rStyle w:val="Emphasis"/>
        </w:rPr>
        <w:t xml:space="preserve">[Commentaire biblique universel : Marc 8:27–16:20] </w:t>
      </w:r>
      <w:r w:rsidRPr="00147936">
        <w:t>Nashville: Thomas Nelson, 2000.</w:t>
      </w:r>
    </w:p>
    <w:p w:rsidR="00C40EA9" w:rsidRPr="00147936" w:rsidRDefault="0041468E">
      <w:pPr>
        <w:pStyle w:val="NormalWeb"/>
        <w:rPr>
          <w:lang w:val="en-US"/>
        </w:rPr>
      </w:pPr>
      <w:r w:rsidRPr="00147936">
        <w:rPr>
          <w:lang w:val="en-US"/>
        </w:rPr>
        <w:t xml:space="preserve">Flusser, David. </w:t>
      </w:r>
      <w:r w:rsidRPr="00147936">
        <w:rPr>
          <w:rStyle w:val="Emphasis"/>
          <w:lang w:val="en-US"/>
        </w:rPr>
        <w:t xml:space="preserve">Jesus. </w:t>
      </w:r>
      <w:r w:rsidR="000F41C1" w:rsidRPr="00147936">
        <w:rPr>
          <w:rStyle w:val="Emphasis"/>
          <w:lang w:val="en-US"/>
        </w:rPr>
        <w:t xml:space="preserve">[Jésus] </w:t>
      </w:r>
      <w:r w:rsidRPr="00147936">
        <w:rPr>
          <w:lang w:val="en-US"/>
        </w:rPr>
        <w:t>Jerusalem: The Magnes Press, 1998.</w:t>
      </w:r>
    </w:p>
    <w:p w:rsidR="00C40EA9" w:rsidRPr="00147936" w:rsidRDefault="0041468E">
      <w:pPr>
        <w:pStyle w:val="NormalWeb"/>
        <w:rPr>
          <w:lang w:val="en-US"/>
        </w:rPr>
      </w:pPr>
      <w:r w:rsidRPr="00147936">
        <w:rPr>
          <w:lang w:val="en-US"/>
        </w:rPr>
        <w:t xml:space="preserve">Flusser, David, and R. Steven Notely. </w:t>
      </w:r>
      <w:r w:rsidRPr="00147936">
        <w:rPr>
          <w:rStyle w:val="Emphasis"/>
        </w:rPr>
        <w:t>The Sage from Galilee: Rediscovering Jesus’ Genius</w:t>
      </w:r>
      <w:r w:rsidR="000F41C1" w:rsidRPr="00147936">
        <w:rPr>
          <w:rStyle w:val="Emphasis"/>
        </w:rPr>
        <w:t xml:space="preserve"> [Le </w:t>
      </w:r>
      <w:r w:rsidR="001F3335" w:rsidRPr="00147936">
        <w:rPr>
          <w:rStyle w:val="Emphasis"/>
        </w:rPr>
        <w:t>S</w:t>
      </w:r>
      <w:r w:rsidR="000F41C1" w:rsidRPr="00147936">
        <w:rPr>
          <w:rStyle w:val="Emphasis"/>
        </w:rPr>
        <w:t>age de Galilée: redécouverte du génie de Jésus]</w:t>
      </w:r>
      <w:r w:rsidRPr="00147936">
        <w:rPr>
          <w:rStyle w:val="Emphasis"/>
        </w:rPr>
        <w:t xml:space="preserve">. </w:t>
      </w:r>
      <w:r w:rsidRPr="00147936">
        <w:rPr>
          <w:lang w:val="en-US"/>
        </w:rPr>
        <w:t>Grand Rapids: William B. Eerdmans’ Publishing Company, 2007.</w:t>
      </w:r>
    </w:p>
    <w:p w:rsidR="00C40EA9" w:rsidRPr="00147936" w:rsidRDefault="0041468E">
      <w:pPr>
        <w:pStyle w:val="NormalWeb"/>
        <w:rPr>
          <w:lang w:val="en-US"/>
        </w:rPr>
      </w:pPr>
      <w:r w:rsidRPr="00147936">
        <w:rPr>
          <w:lang w:val="en-US"/>
        </w:rPr>
        <w:t xml:space="preserve">Green, Joel B. </w:t>
      </w:r>
      <w:r w:rsidRPr="00147936">
        <w:rPr>
          <w:rStyle w:val="Emphasis"/>
          <w:lang w:val="en-US"/>
        </w:rPr>
        <w:t xml:space="preserve">The Gospel of </w:t>
      </w:r>
      <w:r w:rsidR="00F60357" w:rsidRPr="00147936">
        <w:rPr>
          <w:rStyle w:val="Emphasis"/>
          <w:lang w:val="en-US"/>
        </w:rPr>
        <w:t>Luc</w:t>
      </w:r>
      <w:r w:rsidR="000F41C1" w:rsidRPr="00147936">
        <w:rPr>
          <w:rStyle w:val="Emphasis"/>
          <w:lang w:val="en-US"/>
        </w:rPr>
        <w:t xml:space="preserve"> [L’</w:t>
      </w:r>
      <w:r w:rsidR="00BE6D0E" w:rsidRPr="00147936">
        <w:rPr>
          <w:rStyle w:val="Emphasis"/>
          <w:lang w:val="en-US"/>
        </w:rPr>
        <w:t>Evangile</w:t>
      </w:r>
      <w:r w:rsidR="000F41C1" w:rsidRPr="00147936">
        <w:rPr>
          <w:rStyle w:val="Emphasis"/>
          <w:lang w:val="en-US"/>
        </w:rPr>
        <w:t xml:space="preserve"> de Luc]</w:t>
      </w:r>
      <w:r w:rsidRPr="00147936">
        <w:rPr>
          <w:rStyle w:val="Emphasis"/>
          <w:lang w:val="en-US"/>
        </w:rPr>
        <w:t>.</w:t>
      </w:r>
      <w:r w:rsidRPr="00147936">
        <w:rPr>
          <w:lang w:val="en-US"/>
        </w:rPr>
        <w:t xml:space="preserve"> Grand Rapids: William B. Eerdmans’ Publishing Company, 1997.</w:t>
      </w:r>
    </w:p>
    <w:p w:rsidR="00C40EA9" w:rsidRPr="00147936" w:rsidRDefault="0041468E">
      <w:pPr>
        <w:pStyle w:val="NormalWeb"/>
        <w:rPr>
          <w:lang w:val="en-US"/>
        </w:rPr>
      </w:pPr>
      <w:r w:rsidRPr="00147936">
        <w:rPr>
          <w:lang w:val="en-US"/>
        </w:rPr>
        <w:t xml:space="preserve">Green, Joel B., and Scot McKnight, eds. </w:t>
      </w:r>
      <w:r w:rsidRPr="00147936">
        <w:rPr>
          <w:rStyle w:val="Emphasis"/>
        </w:rPr>
        <w:t>Dictionary of Jesus and the Gospels</w:t>
      </w:r>
      <w:r w:rsidR="000F41C1" w:rsidRPr="00147936">
        <w:rPr>
          <w:rStyle w:val="Emphasis"/>
        </w:rPr>
        <w:t xml:space="preserve"> [Dictionnaire de Jésus et des </w:t>
      </w:r>
      <w:r w:rsidR="00BE6D0E" w:rsidRPr="00147936">
        <w:rPr>
          <w:rStyle w:val="Emphasis"/>
        </w:rPr>
        <w:t>Evangile</w:t>
      </w:r>
      <w:r w:rsidR="000F41C1" w:rsidRPr="00147936">
        <w:rPr>
          <w:rStyle w:val="Emphasis"/>
        </w:rPr>
        <w:t>s]</w:t>
      </w:r>
      <w:r w:rsidRPr="00147936">
        <w:rPr>
          <w:rStyle w:val="Emphasis"/>
        </w:rPr>
        <w:t>.</w:t>
      </w:r>
      <w:r w:rsidRPr="00147936">
        <w:t xml:space="preserve"> </w:t>
      </w:r>
      <w:r w:rsidRPr="00147936">
        <w:rPr>
          <w:lang w:val="en-US"/>
        </w:rPr>
        <w:t>Downers Grove: InterVarsity Press, 1992.</w:t>
      </w:r>
    </w:p>
    <w:p w:rsidR="00C40EA9" w:rsidRPr="00147936" w:rsidRDefault="0041468E">
      <w:pPr>
        <w:pStyle w:val="NormalWeb"/>
        <w:rPr>
          <w:lang w:val="en-US"/>
        </w:rPr>
      </w:pPr>
      <w:r w:rsidRPr="00147936">
        <w:rPr>
          <w:lang w:val="en-US"/>
        </w:rPr>
        <w:t xml:space="preserve">Guelich, Robert A. </w:t>
      </w:r>
      <w:r w:rsidRPr="00147936">
        <w:rPr>
          <w:rStyle w:val="Emphasis"/>
          <w:lang w:val="en-US"/>
        </w:rPr>
        <w:t xml:space="preserve">World Biblical Commentary: </w:t>
      </w:r>
      <w:r w:rsidR="00F60357" w:rsidRPr="00147936">
        <w:rPr>
          <w:rStyle w:val="Emphasis"/>
          <w:lang w:val="en-US"/>
        </w:rPr>
        <w:t>Mar</w:t>
      </w:r>
      <w:r w:rsidR="000F41C1" w:rsidRPr="00147936">
        <w:rPr>
          <w:rStyle w:val="Emphasis"/>
          <w:lang w:val="en-US"/>
        </w:rPr>
        <w:t>k</w:t>
      </w:r>
      <w:r w:rsidRPr="00147936">
        <w:rPr>
          <w:rStyle w:val="Emphasis"/>
          <w:lang w:val="en-US"/>
        </w:rPr>
        <w:t xml:space="preserve"> 1–8:26</w:t>
      </w:r>
      <w:r w:rsidR="000F41C1" w:rsidRPr="00147936">
        <w:rPr>
          <w:rStyle w:val="Emphasis"/>
          <w:lang w:val="en-US"/>
        </w:rPr>
        <w:t xml:space="preserve"> [Commentaire biblique universel: Marc 1–8:26]. </w:t>
      </w:r>
      <w:r w:rsidRPr="00147936">
        <w:rPr>
          <w:lang w:val="en-US"/>
        </w:rPr>
        <w:t>Nashville: Thomas Nelson, 1989.</w:t>
      </w:r>
    </w:p>
    <w:p w:rsidR="00C40EA9" w:rsidRPr="00147936" w:rsidRDefault="0041468E">
      <w:pPr>
        <w:pStyle w:val="NormalWeb"/>
        <w:rPr>
          <w:lang w:val="en-US"/>
        </w:rPr>
      </w:pPr>
      <w:r w:rsidRPr="00147936">
        <w:rPr>
          <w:lang w:val="en-US"/>
        </w:rPr>
        <w:t xml:space="preserve">Jeremias, Joachim. </w:t>
      </w:r>
      <w:r w:rsidRPr="00147936">
        <w:rPr>
          <w:rStyle w:val="Emphasis"/>
          <w:lang w:val="en-US"/>
        </w:rPr>
        <w:t>The Eucharistic Words of Jesus</w:t>
      </w:r>
      <w:r w:rsidR="000F41C1" w:rsidRPr="00147936">
        <w:rPr>
          <w:rStyle w:val="Emphasis"/>
          <w:lang w:val="en-US"/>
        </w:rPr>
        <w:t xml:space="preserve"> [les paroles eucharistiques de Jésus]</w:t>
      </w:r>
      <w:r w:rsidRPr="00147936">
        <w:rPr>
          <w:lang w:val="en-US"/>
        </w:rPr>
        <w:t>. Philadelphia: Trinity Press International, 1990.</w:t>
      </w:r>
    </w:p>
    <w:p w:rsidR="00C40EA9" w:rsidRPr="00147936" w:rsidRDefault="0041468E">
      <w:pPr>
        <w:pStyle w:val="NormalWeb"/>
        <w:rPr>
          <w:lang w:val="en-US"/>
        </w:rPr>
      </w:pPr>
      <w:r w:rsidRPr="00147936">
        <w:rPr>
          <w:lang w:val="en-US"/>
        </w:rPr>
        <w:t xml:space="preserve">Jeremias, Joachim. </w:t>
      </w:r>
      <w:r w:rsidRPr="00147936">
        <w:rPr>
          <w:rStyle w:val="Emphasis"/>
          <w:lang w:val="en-US"/>
        </w:rPr>
        <w:t>Jerusalem in the Time of Jesus</w:t>
      </w:r>
      <w:r w:rsidR="000F41C1" w:rsidRPr="00147936">
        <w:rPr>
          <w:rStyle w:val="Emphasis"/>
          <w:lang w:val="en-US"/>
        </w:rPr>
        <w:t xml:space="preserve"> [Jérusalem à l’époque de Jésus]</w:t>
      </w:r>
      <w:r w:rsidRPr="00147936">
        <w:rPr>
          <w:lang w:val="en-US"/>
        </w:rPr>
        <w:t>. Philadelphia: Fortress Press, 1996.</w:t>
      </w:r>
    </w:p>
    <w:p w:rsidR="00C40EA9" w:rsidRPr="00147936" w:rsidRDefault="0041468E">
      <w:pPr>
        <w:pStyle w:val="NormalWeb"/>
        <w:rPr>
          <w:lang w:val="en-US"/>
        </w:rPr>
      </w:pPr>
      <w:r w:rsidRPr="00147936">
        <w:rPr>
          <w:lang w:val="en-US"/>
        </w:rPr>
        <w:t xml:space="preserve">Jeremias, Joachim. </w:t>
      </w:r>
      <w:r w:rsidRPr="00147936">
        <w:rPr>
          <w:rStyle w:val="Emphasis"/>
          <w:lang w:val="en-US"/>
        </w:rPr>
        <w:t>Jesus and the Message of the New Testament</w:t>
      </w:r>
      <w:r w:rsidR="000F41C1" w:rsidRPr="00147936">
        <w:rPr>
          <w:rStyle w:val="Emphasis"/>
          <w:lang w:val="en-US"/>
        </w:rPr>
        <w:t xml:space="preserve"> [Jésus et le message du Nouveau Testament]</w:t>
      </w:r>
      <w:r w:rsidRPr="00147936">
        <w:rPr>
          <w:rStyle w:val="Emphasis"/>
          <w:lang w:val="en-US"/>
        </w:rPr>
        <w:t xml:space="preserve">. </w:t>
      </w:r>
      <w:r w:rsidRPr="00147936">
        <w:rPr>
          <w:lang w:val="en-US"/>
        </w:rPr>
        <w:t>Minneapolis: Fortress Press, 2002.</w:t>
      </w:r>
    </w:p>
    <w:p w:rsidR="00C40EA9" w:rsidRPr="00147936" w:rsidRDefault="0041468E">
      <w:pPr>
        <w:pStyle w:val="NormalWeb"/>
        <w:rPr>
          <w:lang w:val="en-US"/>
        </w:rPr>
      </w:pPr>
      <w:r w:rsidRPr="00E52D5F">
        <w:rPr>
          <w:lang w:val="en-US"/>
        </w:rPr>
        <w:t xml:space="preserve">Jeremias, Joachim. </w:t>
      </w:r>
      <w:r w:rsidRPr="00E52D5F">
        <w:rPr>
          <w:rStyle w:val="Emphasis"/>
          <w:lang w:val="en-US"/>
        </w:rPr>
        <w:t>New Testament Theology</w:t>
      </w:r>
      <w:r w:rsidR="000F41C1" w:rsidRPr="00E52D5F">
        <w:rPr>
          <w:rStyle w:val="Emphasis"/>
          <w:lang w:val="en-US"/>
        </w:rPr>
        <w:t xml:space="preserve"> [Théologie du Nouveau Testament]</w:t>
      </w:r>
      <w:r w:rsidRPr="00E52D5F">
        <w:rPr>
          <w:lang w:val="en-US"/>
        </w:rPr>
        <w:t xml:space="preserve">. </w:t>
      </w:r>
      <w:r w:rsidRPr="00147936">
        <w:rPr>
          <w:lang w:val="en-US"/>
        </w:rPr>
        <w:t>New York: Charles Scribner’s Sons, 1971.</w:t>
      </w:r>
    </w:p>
    <w:p w:rsidR="00C40EA9" w:rsidRPr="00147936" w:rsidRDefault="0041468E">
      <w:pPr>
        <w:pStyle w:val="NormalWeb"/>
        <w:rPr>
          <w:lang w:val="en-US"/>
        </w:rPr>
      </w:pPr>
      <w:r w:rsidRPr="00147936">
        <w:rPr>
          <w:lang w:val="en-US"/>
        </w:rPr>
        <w:t xml:space="preserve">Lloyd-Jones, D. Martyn. </w:t>
      </w:r>
      <w:r w:rsidRPr="00147936">
        <w:rPr>
          <w:rStyle w:val="Emphasis"/>
          <w:lang w:val="en-US"/>
        </w:rPr>
        <w:t>Studies in the Sermon on the Mount</w:t>
      </w:r>
      <w:r w:rsidR="000F41C1" w:rsidRPr="00147936">
        <w:rPr>
          <w:rStyle w:val="Emphasis"/>
          <w:lang w:val="en-US"/>
        </w:rPr>
        <w:t xml:space="preserve"> [Etudes du Sermon sur la montagne]</w:t>
      </w:r>
      <w:r w:rsidRPr="00147936">
        <w:rPr>
          <w:rStyle w:val="Emphasis"/>
          <w:lang w:val="en-US"/>
        </w:rPr>
        <w:t xml:space="preserve">. </w:t>
      </w:r>
      <w:r w:rsidRPr="00147936">
        <w:rPr>
          <w:lang w:val="en-US"/>
        </w:rPr>
        <w:t>Grand Rapids: William B. Eerdmans’ Publishing Company, 1976</w:t>
      </w:r>
      <w:r w:rsidRPr="00147936">
        <w:rPr>
          <w:rStyle w:val="Emphasis"/>
          <w:lang w:val="en-US"/>
        </w:rPr>
        <w:t>.</w:t>
      </w:r>
    </w:p>
    <w:p w:rsidR="00C40EA9" w:rsidRPr="00147936" w:rsidRDefault="0041468E">
      <w:pPr>
        <w:pStyle w:val="NormalWeb"/>
        <w:rPr>
          <w:lang w:val="en-US"/>
        </w:rPr>
      </w:pPr>
      <w:r w:rsidRPr="00147936">
        <w:rPr>
          <w:lang w:val="en-US"/>
        </w:rPr>
        <w:t xml:space="preserve">Manson, T. W. </w:t>
      </w:r>
      <w:r w:rsidRPr="00147936">
        <w:rPr>
          <w:rStyle w:val="Emphasis"/>
          <w:lang w:val="en-US"/>
        </w:rPr>
        <w:t>The Sayings of Jesus</w:t>
      </w:r>
      <w:r w:rsidR="000F41C1" w:rsidRPr="00147936">
        <w:rPr>
          <w:rStyle w:val="Emphasis"/>
          <w:lang w:val="en-US"/>
        </w:rPr>
        <w:t xml:space="preserve"> [les adages de Jésus]</w:t>
      </w:r>
      <w:r w:rsidRPr="00147936">
        <w:rPr>
          <w:lang w:val="en-US"/>
        </w:rPr>
        <w:t>. Grand Rapids: William B. Eerdmans’ Publishing Company, 1957.</w:t>
      </w:r>
    </w:p>
    <w:p w:rsidR="00C40EA9" w:rsidRPr="00147936" w:rsidRDefault="0041468E">
      <w:pPr>
        <w:pStyle w:val="NormalWeb"/>
        <w:rPr>
          <w:lang w:val="en-US"/>
        </w:rPr>
      </w:pPr>
      <w:r w:rsidRPr="00147936">
        <w:t xml:space="preserve">Manson, T. W. </w:t>
      </w:r>
      <w:r w:rsidRPr="00147936">
        <w:rPr>
          <w:rStyle w:val="Emphasis"/>
        </w:rPr>
        <w:t>The Teaching of Jesus</w:t>
      </w:r>
      <w:r w:rsidR="000F41C1" w:rsidRPr="00147936">
        <w:rPr>
          <w:rStyle w:val="Emphasis"/>
        </w:rPr>
        <w:t xml:space="preserve"> [Les enseignements de Jésus]</w:t>
      </w:r>
      <w:r w:rsidRPr="00147936">
        <w:rPr>
          <w:rStyle w:val="Emphasis"/>
        </w:rPr>
        <w:t>.</w:t>
      </w:r>
      <w:r w:rsidRPr="00147936">
        <w:t xml:space="preserve"> </w:t>
      </w:r>
      <w:r w:rsidRPr="00147936">
        <w:rPr>
          <w:lang w:val="en-US"/>
        </w:rPr>
        <w:t>Cambridge: University Press, 1967.</w:t>
      </w:r>
    </w:p>
    <w:p w:rsidR="00C40EA9" w:rsidRPr="00147936" w:rsidRDefault="0041468E">
      <w:pPr>
        <w:pStyle w:val="NormalWeb"/>
        <w:rPr>
          <w:lang w:val="en-US"/>
        </w:rPr>
      </w:pPr>
      <w:r w:rsidRPr="00147936">
        <w:rPr>
          <w:lang w:val="en-US"/>
        </w:rPr>
        <w:t xml:space="preserve">Michaels, J. Ramsey. </w:t>
      </w:r>
      <w:r w:rsidRPr="00147936">
        <w:rPr>
          <w:rStyle w:val="Emphasis"/>
          <w:lang w:val="en-US"/>
        </w:rPr>
        <w:t xml:space="preserve">The Gospel of </w:t>
      </w:r>
      <w:r w:rsidR="00F60357" w:rsidRPr="00147936">
        <w:rPr>
          <w:rStyle w:val="Emphasis"/>
          <w:lang w:val="en-US"/>
        </w:rPr>
        <w:t>J</w:t>
      </w:r>
      <w:r w:rsidR="000F41C1" w:rsidRPr="00147936">
        <w:rPr>
          <w:rStyle w:val="Emphasis"/>
          <w:lang w:val="en-US"/>
        </w:rPr>
        <w:t>ohn [L’</w:t>
      </w:r>
      <w:r w:rsidR="00BE6D0E" w:rsidRPr="00147936">
        <w:rPr>
          <w:rStyle w:val="Emphasis"/>
          <w:lang w:val="en-US"/>
        </w:rPr>
        <w:t>Evangile</w:t>
      </w:r>
      <w:r w:rsidR="000F41C1" w:rsidRPr="00147936">
        <w:rPr>
          <w:rStyle w:val="Emphasis"/>
          <w:lang w:val="en-US"/>
        </w:rPr>
        <w:t xml:space="preserve"> de Jean]</w:t>
      </w:r>
      <w:r w:rsidRPr="00147936">
        <w:rPr>
          <w:rStyle w:val="Emphasis"/>
          <w:lang w:val="en-US"/>
        </w:rPr>
        <w:t>.</w:t>
      </w:r>
      <w:r w:rsidRPr="00147936">
        <w:rPr>
          <w:lang w:val="en-US"/>
        </w:rPr>
        <w:t xml:space="preserve"> Grand Rapids: William B. Eerdmans’ Publishing Company, 2010.</w:t>
      </w:r>
    </w:p>
    <w:p w:rsidR="00C40EA9" w:rsidRPr="00147936" w:rsidRDefault="0041468E">
      <w:pPr>
        <w:pStyle w:val="NormalWeb"/>
        <w:rPr>
          <w:lang w:val="en-US"/>
        </w:rPr>
      </w:pPr>
      <w:r w:rsidRPr="00147936">
        <w:rPr>
          <w:lang w:val="en-US"/>
        </w:rPr>
        <w:t xml:space="preserve">Morris, Leon. </w:t>
      </w:r>
      <w:r w:rsidRPr="00147936">
        <w:rPr>
          <w:rStyle w:val="Emphasis"/>
          <w:lang w:val="en-US"/>
        </w:rPr>
        <w:t xml:space="preserve">The Gospel According to </w:t>
      </w:r>
      <w:r w:rsidR="00F60357" w:rsidRPr="00147936">
        <w:rPr>
          <w:rStyle w:val="Emphasis"/>
          <w:lang w:val="en-US"/>
        </w:rPr>
        <w:t>Matth</w:t>
      </w:r>
      <w:r w:rsidR="004B5AC4" w:rsidRPr="00147936">
        <w:rPr>
          <w:rStyle w:val="Emphasis"/>
          <w:lang w:val="en-US"/>
        </w:rPr>
        <w:t>ew</w:t>
      </w:r>
      <w:r w:rsidR="000F41C1" w:rsidRPr="00147936">
        <w:rPr>
          <w:rStyle w:val="Emphasis"/>
          <w:lang w:val="en-US"/>
        </w:rPr>
        <w:t xml:space="preserve"> [L’</w:t>
      </w:r>
      <w:r w:rsidR="00BE6D0E" w:rsidRPr="00147936">
        <w:rPr>
          <w:rStyle w:val="Emphasis"/>
          <w:lang w:val="en-US"/>
        </w:rPr>
        <w:t>Evangile</w:t>
      </w:r>
      <w:r w:rsidR="000F41C1" w:rsidRPr="00147936">
        <w:rPr>
          <w:rStyle w:val="Emphasis"/>
          <w:lang w:val="en-US"/>
        </w:rPr>
        <w:t xml:space="preserve"> selon Matthieu]</w:t>
      </w:r>
      <w:r w:rsidRPr="00147936">
        <w:rPr>
          <w:rStyle w:val="Emphasis"/>
          <w:lang w:val="en-US"/>
        </w:rPr>
        <w:t xml:space="preserve">. </w:t>
      </w:r>
      <w:r w:rsidRPr="00147936">
        <w:rPr>
          <w:lang w:val="en-US"/>
        </w:rPr>
        <w:t>Grand Rapids: William B. Eerdmans’ Publishing Company, 1992.</w:t>
      </w:r>
    </w:p>
    <w:p w:rsidR="00C40EA9" w:rsidRPr="00147936" w:rsidRDefault="0041468E">
      <w:pPr>
        <w:pStyle w:val="NormalWeb"/>
      </w:pPr>
      <w:r w:rsidRPr="00147936">
        <w:rPr>
          <w:lang w:val="en-US"/>
        </w:rPr>
        <w:t xml:space="preserve">Pentecost, J. Dwight. </w:t>
      </w:r>
      <w:r w:rsidRPr="00147936">
        <w:rPr>
          <w:rStyle w:val="Emphasis"/>
        </w:rPr>
        <w:t>The Words &amp; Works of Jesus Christ</w:t>
      </w:r>
      <w:r w:rsidR="000F41C1" w:rsidRPr="00147936">
        <w:rPr>
          <w:rStyle w:val="Emphasis"/>
        </w:rPr>
        <w:t xml:space="preserve"> [Les Paroles et les actes de Jésus]</w:t>
      </w:r>
      <w:r w:rsidRPr="00147936">
        <w:rPr>
          <w:rStyle w:val="Emphasis"/>
        </w:rPr>
        <w:t xml:space="preserve">. </w:t>
      </w:r>
      <w:r w:rsidRPr="00147936">
        <w:t>Grand Rapids: Zondervan, 1981.</w:t>
      </w:r>
    </w:p>
    <w:p w:rsidR="00C40EA9" w:rsidRPr="00147936" w:rsidRDefault="0041468E">
      <w:pPr>
        <w:pStyle w:val="NormalWeb"/>
        <w:rPr>
          <w:lang w:val="en-US"/>
        </w:rPr>
      </w:pPr>
      <w:r w:rsidRPr="00147936">
        <w:t xml:space="preserve">Sanders, E. P. </w:t>
      </w:r>
      <w:r w:rsidRPr="00147936">
        <w:rPr>
          <w:rStyle w:val="Emphasis"/>
        </w:rPr>
        <w:t>Jesus and Judaism</w:t>
      </w:r>
      <w:r w:rsidR="000F41C1" w:rsidRPr="00147936">
        <w:rPr>
          <w:rStyle w:val="Emphasis"/>
        </w:rPr>
        <w:t xml:space="preserve"> [Jésus et le judaïsme]</w:t>
      </w:r>
      <w:r w:rsidRPr="00147936">
        <w:rPr>
          <w:rStyle w:val="Emphasis"/>
        </w:rPr>
        <w:t xml:space="preserve">. </w:t>
      </w:r>
      <w:r w:rsidRPr="00147936">
        <w:rPr>
          <w:lang w:val="en-US"/>
        </w:rPr>
        <w:t>Philadelphia: Fortress Press, 1985.</w:t>
      </w:r>
    </w:p>
    <w:p w:rsidR="00C40EA9" w:rsidRPr="00147936" w:rsidRDefault="0041468E">
      <w:pPr>
        <w:pStyle w:val="NormalWeb"/>
        <w:rPr>
          <w:lang w:val="en-US"/>
        </w:rPr>
      </w:pPr>
      <w:r w:rsidRPr="00147936">
        <w:rPr>
          <w:lang w:val="en-US"/>
        </w:rPr>
        <w:t xml:space="preserve">Sheen, Fulton J. </w:t>
      </w:r>
      <w:r w:rsidRPr="00147936">
        <w:rPr>
          <w:rStyle w:val="Emphasis"/>
          <w:lang w:val="en-US"/>
        </w:rPr>
        <w:t>Life of Christ</w:t>
      </w:r>
      <w:r w:rsidR="000F41C1" w:rsidRPr="00147936">
        <w:rPr>
          <w:rStyle w:val="Emphasis"/>
          <w:lang w:val="en-US"/>
        </w:rPr>
        <w:t xml:space="preserve"> [Vie du Christ]</w:t>
      </w:r>
      <w:r w:rsidRPr="00147936">
        <w:rPr>
          <w:lang w:val="en-US"/>
        </w:rPr>
        <w:t>. New York: Doubleday, 1958.</w:t>
      </w:r>
    </w:p>
    <w:p w:rsidR="00C40EA9" w:rsidRPr="00147936" w:rsidRDefault="0041468E">
      <w:pPr>
        <w:pStyle w:val="NormalWeb"/>
        <w:rPr>
          <w:lang w:val="en-US"/>
        </w:rPr>
      </w:pPr>
      <w:r w:rsidRPr="00147936">
        <w:rPr>
          <w:lang w:val="en-US"/>
        </w:rPr>
        <w:t xml:space="preserve">Spangler, Ann, and Lois Tverberg. </w:t>
      </w:r>
      <w:r w:rsidRPr="00147936">
        <w:rPr>
          <w:rStyle w:val="Emphasis"/>
          <w:lang w:val="en-US"/>
        </w:rPr>
        <w:t>Sitting at the Feet of Rabbi Jesus</w:t>
      </w:r>
      <w:r w:rsidR="000F41C1" w:rsidRPr="00147936">
        <w:rPr>
          <w:rStyle w:val="Emphasis"/>
          <w:lang w:val="en-US"/>
        </w:rPr>
        <w:t xml:space="preserve"> [Assis aux </w:t>
      </w:r>
      <w:r w:rsidR="001F3335" w:rsidRPr="00147936">
        <w:rPr>
          <w:rStyle w:val="Emphasis"/>
          <w:lang w:val="en-US"/>
        </w:rPr>
        <w:t>pieds</w:t>
      </w:r>
      <w:r w:rsidR="000F41C1" w:rsidRPr="00147936">
        <w:rPr>
          <w:rStyle w:val="Emphasis"/>
          <w:lang w:val="en-US"/>
        </w:rPr>
        <w:t xml:space="preserve"> du rabbin Jésus]</w:t>
      </w:r>
      <w:r w:rsidRPr="00147936">
        <w:rPr>
          <w:rStyle w:val="Emphasis"/>
          <w:lang w:val="en-US"/>
        </w:rPr>
        <w:t xml:space="preserve">. </w:t>
      </w:r>
      <w:r w:rsidRPr="00147936">
        <w:rPr>
          <w:lang w:val="en-US"/>
        </w:rPr>
        <w:t>Grand Rapids: Zondervan, 2009.</w:t>
      </w:r>
    </w:p>
    <w:p w:rsidR="00C40EA9" w:rsidRPr="00147936" w:rsidRDefault="0041468E">
      <w:pPr>
        <w:pStyle w:val="NormalWeb"/>
        <w:rPr>
          <w:lang w:val="en-US"/>
        </w:rPr>
      </w:pPr>
      <w:r w:rsidRPr="00147936">
        <w:rPr>
          <w:lang w:val="en-US"/>
        </w:rPr>
        <w:t xml:space="preserve">Stein, Robert H. </w:t>
      </w:r>
      <w:r w:rsidRPr="00147936">
        <w:rPr>
          <w:rStyle w:val="Emphasis"/>
          <w:lang w:val="en-US"/>
        </w:rPr>
        <w:t>Jesus the Messiah</w:t>
      </w:r>
      <w:r w:rsidR="000F41C1" w:rsidRPr="00147936">
        <w:rPr>
          <w:rStyle w:val="Emphasis"/>
          <w:lang w:val="en-US"/>
        </w:rPr>
        <w:t xml:space="preserve"> [Jésus le Messie].</w:t>
      </w:r>
      <w:r w:rsidRPr="00147936">
        <w:rPr>
          <w:lang w:val="en-US"/>
        </w:rPr>
        <w:t xml:space="preserve"> Downers Grove: InterVarsity Press, 1996.</w:t>
      </w:r>
    </w:p>
    <w:p w:rsidR="00C40EA9" w:rsidRPr="00147936" w:rsidRDefault="0041468E">
      <w:pPr>
        <w:pStyle w:val="NormalWeb"/>
      </w:pPr>
      <w:r w:rsidRPr="00147936">
        <w:t xml:space="preserve">Stein, Robert H. </w:t>
      </w:r>
      <w:r w:rsidRPr="00147936">
        <w:rPr>
          <w:rStyle w:val="Emphasis"/>
        </w:rPr>
        <w:t xml:space="preserve">The Method and Message of Jesus’ Teachings, Revised Edition </w:t>
      </w:r>
      <w:r w:rsidR="000F41C1" w:rsidRPr="00147936">
        <w:rPr>
          <w:rStyle w:val="Emphasis"/>
        </w:rPr>
        <w:t>[La méthode et le message des enseignements de Jésus, édition révisée].</w:t>
      </w:r>
      <w:r w:rsidR="00CF4FEE" w:rsidRPr="00147936">
        <w:rPr>
          <w:rStyle w:val="Emphasis"/>
        </w:rPr>
        <w:t xml:space="preserve"> </w:t>
      </w:r>
      <w:r w:rsidRPr="00147936">
        <w:t xml:space="preserve">Louisville: Westminster </w:t>
      </w:r>
      <w:r w:rsidR="00F60357" w:rsidRPr="00147936">
        <w:t>J</w:t>
      </w:r>
      <w:r w:rsidR="00CF4FEE" w:rsidRPr="00147936">
        <w:t>oh</w:t>
      </w:r>
      <w:r w:rsidR="00F60357" w:rsidRPr="00147936">
        <w:t>n</w:t>
      </w:r>
      <w:r w:rsidRPr="00147936">
        <w:t xml:space="preserve"> Knox Press, 1994.</w:t>
      </w:r>
    </w:p>
    <w:p w:rsidR="00C40EA9" w:rsidRPr="00147936" w:rsidRDefault="0041468E">
      <w:pPr>
        <w:pStyle w:val="NormalWeb"/>
        <w:rPr>
          <w:lang w:val="en-US"/>
        </w:rPr>
      </w:pPr>
      <w:r w:rsidRPr="00147936">
        <w:t xml:space="preserve">Stott, </w:t>
      </w:r>
      <w:r w:rsidR="00F60357" w:rsidRPr="00147936">
        <w:t>Jean</w:t>
      </w:r>
      <w:r w:rsidRPr="00147936">
        <w:t xml:space="preserve"> R. W. </w:t>
      </w:r>
      <w:r w:rsidRPr="00147936">
        <w:rPr>
          <w:rStyle w:val="Emphasis"/>
        </w:rPr>
        <w:t>The Message of the Sermon on the Mount</w:t>
      </w:r>
      <w:r w:rsidR="000F41C1" w:rsidRPr="00147936">
        <w:rPr>
          <w:rStyle w:val="Emphasis"/>
        </w:rPr>
        <w:t xml:space="preserve"> [Le message du Sermon sur la montagne]</w:t>
      </w:r>
      <w:r w:rsidRPr="00147936">
        <w:rPr>
          <w:rStyle w:val="Emphasis"/>
        </w:rPr>
        <w:t>.</w:t>
      </w:r>
      <w:r w:rsidRPr="00147936">
        <w:t xml:space="preserve"> </w:t>
      </w:r>
      <w:r w:rsidRPr="00147936">
        <w:rPr>
          <w:lang w:val="en-US"/>
        </w:rPr>
        <w:t>Downers Grove: InterVarsity Press, 1978.</w:t>
      </w:r>
    </w:p>
    <w:p w:rsidR="00C40EA9" w:rsidRPr="00147936" w:rsidRDefault="0041468E">
      <w:pPr>
        <w:pStyle w:val="NormalWeb"/>
        <w:rPr>
          <w:lang w:val="en-US"/>
        </w:rPr>
      </w:pPr>
      <w:r w:rsidRPr="00147936">
        <w:rPr>
          <w:lang w:val="en-US"/>
        </w:rPr>
        <w:t xml:space="preserve">Wood, D. R. W., I. H. Marshall, A. R. Millard, J. I. Packer, and D. J. Wiseman, eds. </w:t>
      </w:r>
      <w:r w:rsidRPr="00147936">
        <w:rPr>
          <w:rStyle w:val="Emphasis"/>
          <w:lang w:val="en-US"/>
        </w:rPr>
        <w:t>New Bible Dictionary</w:t>
      </w:r>
      <w:r w:rsidR="000F41C1" w:rsidRPr="00147936">
        <w:rPr>
          <w:rStyle w:val="Emphasis"/>
          <w:lang w:val="en-US"/>
        </w:rPr>
        <w:t xml:space="preserve"> [Nouveau dictionnaire biblique]</w:t>
      </w:r>
      <w:r w:rsidRPr="00147936">
        <w:rPr>
          <w:lang w:val="en-US"/>
        </w:rPr>
        <w:t>. Downers Grove: InterVarsity Press, 1996.</w:t>
      </w:r>
    </w:p>
    <w:p w:rsidR="00C40EA9" w:rsidRPr="00147936" w:rsidRDefault="0041468E">
      <w:pPr>
        <w:pStyle w:val="NormalWeb"/>
        <w:rPr>
          <w:lang w:val="en-US"/>
        </w:rPr>
      </w:pPr>
      <w:r w:rsidRPr="00147936">
        <w:rPr>
          <w:lang w:val="en-US"/>
        </w:rPr>
        <w:t xml:space="preserve">Wright, N. T. </w:t>
      </w:r>
      <w:r w:rsidRPr="00147936">
        <w:rPr>
          <w:rStyle w:val="Emphasis"/>
          <w:lang w:val="en-US"/>
        </w:rPr>
        <w:t>Jesus and the Victory of God</w:t>
      </w:r>
      <w:r w:rsidR="000F41C1" w:rsidRPr="00147936">
        <w:rPr>
          <w:rStyle w:val="Emphasis"/>
          <w:lang w:val="en-US"/>
        </w:rPr>
        <w:t xml:space="preserve"> [Jésus et la victoire de Dieu]</w:t>
      </w:r>
      <w:r w:rsidRPr="00147936">
        <w:rPr>
          <w:rStyle w:val="Emphasis"/>
          <w:lang w:val="en-US"/>
        </w:rPr>
        <w:t>.</w:t>
      </w:r>
      <w:r w:rsidRPr="00147936">
        <w:rPr>
          <w:lang w:val="en-US"/>
        </w:rPr>
        <w:t xml:space="preserve"> Minneapolis: Fortress Press, 1996.</w:t>
      </w:r>
    </w:p>
    <w:p w:rsidR="00C40EA9" w:rsidRPr="00147936" w:rsidRDefault="0041468E">
      <w:pPr>
        <w:pStyle w:val="NormalWeb"/>
        <w:rPr>
          <w:lang w:val="en-US"/>
        </w:rPr>
      </w:pPr>
      <w:r w:rsidRPr="00147936">
        <w:rPr>
          <w:lang w:val="en-US"/>
        </w:rPr>
        <w:t xml:space="preserve">Wright, N. T. </w:t>
      </w:r>
      <w:r w:rsidR="00F60357" w:rsidRPr="00147936">
        <w:rPr>
          <w:rStyle w:val="Emphasis"/>
          <w:lang w:val="en-US"/>
        </w:rPr>
        <w:t>Matth</w:t>
      </w:r>
      <w:r w:rsidR="009107E1" w:rsidRPr="00147936">
        <w:rPr>
          <w:rStyle w:val="Emphasis"/>
          <w:lang w:val="en-US"/>
        </w:rPr>
        <w:t>ew</w:t>
      </w:r>
      <w:r w:rsidRPr="00147936">
        <w:rPr>
          <w:rStyle w:val="Emphasis"/>
          <w:lang w:val="en-US"/>
        </w:rPr>
        <w:t xml:space="preserve"> for Everyone, Part 1</w:t>
      </w:r>
      <w:r w:rsidR="000F41C1" w:rsidRPr="00147936">
        <w:rPr>
          <w:rStyle w:val="Emphasis"/>
          <w:lang w:val="en-US"/>
        </w:rPr>
        <w:t>[Matthieu pour tous, 1</w:t>
      </w:r>
      <w:r w:rsidR="000F41C1" w:rsidRPr="00147936">
        <w:rPr>
          <w:rStyle w:val="Emphasis"/>
          <w:vertAlign w:val="superscript"/>
          <w:lang w:val="en-US"/>
        </w:rPr>
        <w:t>ère</w:t>
      </w:r>
      <w:r w:rsidR="000F41C1" w:rsidRPr="00147936">
        <w:rPr>
          <w:rStyle w:val="Emphasis"/>
          <w:lang w:val="en-US"/>
        </w:rPr>
        <w:t xml:space="preserve"> partie]</w:t>
      </w:r>
      <w:r w:rsidRPr="00147936">
        <w:rPr>
          <w:rStyle w:val="Emphasis"/>
          <w:lang w:val="en-US"/>
        </w:rPr>
        <w:t xml:space="preserve"> </w:t>
      </w:r>
      <w:r w:rsidRPr="00147936">
        <w:rPr>
          <w:lang w:val="en-US"/>
        </w:rPr>
        <w:t xml:space="preserve">Louisville: Westminster </w:t>
      </w:r>
      <w:r w:rsidR="00F60357" w:rsidRPr="00147936">
        <w:rPr>
          <w:lang w:val="en-US"/>
        </w:rPr>
        <w:t>Jean</w:t>
      </w:r>
      <w:r w:rsidRPr="00147936">
        <w:rPr>
          <w:lang w:val="en-US"/>
        </w:rPr>
        <w:t xml:space="preserve"> Knox Press, 2004.</w:t>
      </w:r>
    </w:p>
    <w:p w:rsidR="00C40EA9" w:rsidRPr="00147936" w:rsidRDefault="0041468E">
      <w:pPr>
        <w:pStyle w:val="NormalWeb"/>
        <w:rPr>
          <w:lang w:val="en-US"/>
        </w:rPr>
      </w:pPr>
      <w:r w:rsidRPr="00147936">
        <w:rPr>
          <w:lang w:val="en-US"/>
        </w:rPr>
        <w:t xml:space="preserve">Wright, N. T. </w:t>
      </w:r>
      <w:r w:rsidRPr="00147936">
        <w:rPr>
          <w:rStyle w:val="Emphasis"/>
          <w:lang w:val="en-US"/>
        </w:rPr>
        <w:t>The Resurrection of the Son of God</w:t>
      </w:r>
      <w:r w:rsidR="00A35096" w:rsidRPr="00147936">
        <w:rPr>
          <w:rStyle w:val="Emphasis"/>
          <w:lang w:val="en-US"/>
        </w:rPr>
        <w:t xml:space="preserve"> [La résurrection du Fils de Dieu].</w:t>
      </w:r>
      <w:r w:rsidRPr="00147936">
        <w:rPr>
          <w:rStyle w:val="Emphasis"/>
          <w:lang w:val="en-US"/>
        </w:rPr>
        <w:t xml:space="preserve"> </w:t>
      </w:r>
      <w:r w:rsidRPr="00147936">
        <w:rPr>
          <w:lang w:val="en-US"/>
        </w:rPr>
        <w:t>Minneapolis: Fortress Press, 2003.</w:t>
      </w:r>
    </w:p>
    <w:p w:rsidR="00C40EA9" w:rsidRPr="00147936" w:rsidRDefault="0041468E">
      <w:pPr>
        <w:pStyle w:val="NormalWeb"/>
        <w:rPr>
          <w:lang w:val="en-US"/>
        </w:rPr>
      </w:pPr>
      <w:r w:rsidRPr="00147936">
        <w:t>Yancey, Philip</w:t>
      </w:r>
      <w:r w:rsidRPr="00147936">
        <w:rPr>
          <w:rStyle w:val="Emphasis"/>
        </w:rPr>
        <w:t>. The Jesus I Never Knew</w:t>
      </w:r>
      <w:r w:rsidR="00A35096" w:rsidRPr="00147936">
        <w:rPr>
          <w:rStyle w:val="Emphasis"/>
        </w:rPr>
        <w:t xml:space="preserve"> [Ce Jésus que je ne connaissais pas]</w:t>
      </w:r>
      <w:r w:rsidRPr="00147936">
        <w:t xml:space="preserve">. </w:t>
      </w:r>
      <w:r w:rsidRPr="00147936">
        <w:rPr>
          <w:lang w:val="en-US"/>
        </w:rPr>
        <w:t>Grand Rapids: Zondervan, 1995.</w:t>
      </w:r>
    </w:p>
    <w:p w:rsidR="00C40EA9" w:rsidRPr="00147936" w:rsidRDefault="0041468E">
      <w:pPr>
        <w:pStyle w:val="NormalWeb"/>
      </w:pPr>
      <w:r w:rsidRPr="00147936">
        <w:rPr>
          <w:lang w:val="en-US"/>
        </w:rPr>
        <w:t xml:space="preserve">Young, Brad H. </w:t>
      </w:r>
      <w:r w:rsidRPr="00147936">
        <w:rPr>
          <w:rStyle w:val="Emphasis"/>
          <w:lang w:val="en-US"/>
        </w:rPr>
        <w:t>Jesus the Jewish Theologian</w:t>
      </w:r>
      <w:r w:rsidR="00A35096" w:rsidRPr="00147936">
        <w:rPr>
          <w:rStyle w:val="Emphasis"/>
          <w:lang w:val="en-US"/>
        </w:rPr>
        <w:t xml:space="preserve"> [Jésus le théologien juif]</w:t>
      </w:r>
      <w:r w:rsidRPr="00147936">
        <w:rPr>
          <w:rStyle w:val="Emphasis"/>
          <w:lang w:val="en-US"/>
        </w:rPr>
        <w:t>.</w:t>
      </w:r>
      <w:r w:rsidRPr="00147936">
        <w:rPr>
          <w:lang w:val="en-US"/>
        </w:rPr>
        <w:t xml:space="preserve"> </w:t>
      </w:r>
      <w:r w:rsidRPr="00147936">
        <w:t>Grand Rapids: Baker Academic, 1995.</w:t>
      </w:r>
    </w:p>
    <w:p w:rsidR="00C40EA9" w:rsidRPr="00147936" w:rsidRDefault="00297D61">
      <w:r>
        <w:pict>
          <v:rect id="_x0000_i1027" style="width:0;height:1.5pt" o:hralign="center" o:hrstd="t" o:hr="t" fillcolor="#a0a0a0" stroked="f"/>
        </w:pict>
      </w:r>
    </w:p>
    <w:p w:rsidR="00BA3F04" w:rsidRPr="00147936" w:rsidRDefault="00BA3F04"/>
    <w:p w:rsidR="003E3263" w:rsidRPr="00147936" w:rsidRDefault="00BA3F04" w:rsidP="003E3263">
      <w:pPr>
        <w:pStyle w:val="NormalWeb"/>
        <w:spacing w:before="0" w:beforeAutospacing="0" w:after="0" w:afterAutospacing="0" w:line="276" w:lineRule="auto"/>
        <w:divId w:val="148911047"/>
      </w:pPr>
      <w:bookmarkStart w:id="1" w:name="_ftn9"/>
      <w:r w:rsidRPr="00147936">
        <w:t xml:space="preserve">Traduit de l’original anglais </w:t>
      </w:r>
      <w:r w:rsidR="002A34CE">
        <w:t>« </w:t>
      </w:r>
      <w:r w:rsidRPr="00147936">
        <w:t>J</w:t>
      </w:r>
      <w:r w:rsidR="002A34CE">
        <w:t>e</w:t>
      </w:r>
      <w:r w:rsidRPr="00147936">
        <w:t>sus – his life and message: Jesus’ birth, part 1</w:t>
      </w:r>
      <w:r w:rsidR="002A34CE">
        <w:t> »</w:t>
      </w:r>
      <w:r w:rsidR="000F2FC4" w:rsidRPr="00147936">
        <w:t>,</w:t>
      </w:r>
      <w:r w:rsidRPr="00147936">
        <w:t xml:space="preserve"> par Bruno et Françoise Corticelli </w:t>
      </w:r>
    </w:p>
    <w:bookmarkEnd w:id="1"/>
    <w:p w:rsidR="0041468E" w:rsidRPr="00147936" w:rsidRDefault="0041468E">
      <w:pPr>
        <w:pStyle w:val="NormalWeb"/>
      </w:pPr>
      <w:r w:rsidRPr="00147936">
        <w:t>Copyright © 2014 The Family International.</w:t>
      </w:r>
    </w:p>
    <w:sectPr w:rsidR="0041468E" w:rsidRPr="00147936">
      <w:footnotePr>
        <w:numFmt w:val="lowerLetter"/>
      </w:footnotePr>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D61" w:rsidRDefault="00297D61" w:rsidP="00F147EF">
      <w:r>
        <w:separator/>
      </w:r>
    </w:p>
  </w:endnote>
  <w:endnote w:type="continuationSeparator" w:id="0">
    <w:p w:rsidR="00297D61" w:rsidRDefault="00297D61" w:rsidP="00F147EF">
      <w:r>
        <w:continuationSeparator/>
      </w:r>
    </w:p>
  </w:endnote>
  <w:endnote w:id="1">
    <w:p w:rsidR="00F147EF" w:rsidRPr="002A34CE" w:rsidRDefault="00F147EF" w:rsidP="00A83016">
      <w:pPr>
        <w:pStyle w:val="EndnoteText"/>
        <w:spacing w:line="360" w:lineRule="auto"/>
        <w:rPr>
          <w:sz w:val="22"/>
        </w:rPr>
      </w:pPr>
      <w:bookmarkStart w:id="0" w:name="_GoBack"/>
      <w:bookmarkEnd w:id="0"/>
      <w:r w:rsidRPr="002A34CE">
        <w:rPr>
          <w:rStyle w:val="EndnoteReference"/>
          <w:sz w:val="22"/>
        </w:rPr>
        <w:endnoteRef/>
      </w:r>
      <w:r w:rsidRPr="002A34CE">
        <w:rPr>
          <w:sz w:val="22"/>
        </w:rPr>
        <w:t xml:space="preserve"> Michée 5:2.</w:t>
      </w:r>
    </w:p>
  </w:endnote>
  <w:endnote w:id="2">
    <w:p w:rsidR="00F147EF" w:rsidRPr="002A34CE" w:rsidRDefault="00F147EF" w:rsidP="00A83016">
      <w:pPr>
        <w:pStyle w:val="EndnoteText"/>
        <w:spacing w:line="360" w:lineRule="auto"/>
        <w:rPr>
          <w:sz w:val="22"/>
        </w:rPr>
      </w:pPr>
      <w:r w:rsidRPr="002A34CE">
        <w:rPr>
          <w:rStyle w:val="EndnoteReference"/>
          <w:sz w:val="22"/>
        </w:rPr>
        <w:endnoteRef/>
      </w:r>
      <w:r w:rsidRPr="002A34CE">
        <w:rPr>
          <w:sz w:val="22"/>
        </w:rPr>
        <w:t xml:space="preserve"> Genèse 12:3, 22:18.</w:t>
      </w:r>
    </w:p>
  </w:endnote>
  <w:endnote w:id="3">
    <w:p w:rsidR="00BA1426" w:rsidRPr="002A34CE" w:rsidRDefault="00BA1426" w:rsidP="00A83016">
      <w:pPr>
        <w:pStyle w:val="EndnoteText"/>
        <w:spacing w:line="360" w:lineRule="auto"/>
        <w:rPr>
          <w:sz w:val="22"/>
        </w:rPr>
      </w:pPr>
      <w:r w:rsidRPr="002A34CE">
        <w:rPr>
          <w:rStyle w:val="EndnoteReference"/>
          <w:sz w:val="22"/>
        </w:rPr>
        <w:endnoteRef/>
      </w:r>
      <w:r w:rsidRPr="002A34CE">
        <w:rPr>
          <w:sz w:val="22"/>
        </w:rPr>
        <w:t xml:space="preserve"> Genèse 17:19, 21:12.</w:t>
      </w:r>
    </w:p>
  </w:endnote>
  <w:endnote w:id="4">
    <w:p w:rsidR="00BA1426" w:rsidRPr="002A34CE" w:rsidRDefault="00BA1426" w:rsidP="00A83016">
      <w:pPr>
        <w:pStyle w:val="EndnoteText"/>
        <w:spacing w:line="360" w:lineRule="auto"/>
        <w:rPr>
          <w:sz w:val="22"/>
        </w:rPr>
      </w:pPr>
      <w:r w:rsidRPr="002A34CE">
        <w:rPr>
          <w:rStyle w:val="EndnoteReference"/>
          <w:sz w:val="22"/>
        </w:rPr>
        <w:endnoteRef/>
      </w:r>
      <w:r w:rsidRPr="002A34CE">
        <w:rPr>
          <w:sz w:val="22"/>
        </w:rPr>
        <w:t xml:space="preserve"> Nombres 24:17.</w:t>
      </w:r>
    </w:p>
  </w:endnote>
  <w:endnote w:id="5">
    <w:p w:rsidR="00BA1426" w:rsidRPr="002A34CE" w:rsidRDefault="00BA1426" w:rsidP="00A83016">
      <w:pPr>
        <w:pStyle w:val="EndnoteText"/>
        <w:spacing w:line="360" w:lineRule="auto"/>
        <w:rPr>
          <w:sz w:val="22"/>
        </w:rPr>
      </w:pPr>
      <w:r w:rsidRPr="002A34CE">
        <w:rPr>
          <w:rStyle w:val="EndnoteReference"/>
          <w:sz w:val="22"/>
        </w:rPr>
        <w:endnoteRef/>
      </w:r>
      <w:r w:rsidRPr="002A34CE">
        <w:rPr>
          <w:sz w:val="22"/>
        </w:rPr>
        <w:t xml:space="preserve"> Genèse 49:10.</w:t>
      </w:r>
    </w:p>
  </w:endnote>
  <w:endnote w:id="6">
    <w:p w:rsidR="00BA1426" w:rsidRPr="002A34CE" w:rsidRDefault="00BA1426" w:rsidP="00A83016">
      <w:pPr>
        <w:pStyle w:val="EndnoteText"/>
        <w:spacing w:line="360" w:lineRule="auto"/>
        <w:rPr>
          <w:sz w:val="22"/>
        </w:rPr>
      </w:pPr>
      <w:r w:rsidRPr="002A34CE">
        <w:rPr>
          <w:rStyle w:val="EndnoteReference"/>
          <w:sz w:val="22"/>
        </w:rPr>
        <w:endnoteRef/>
      </w:r>
      <w:r w:rsidRPr="002A34CE">
        <w:rPr>
          <w:sz w:val="22"/>
        </w:rPr>
        <w:t xml:space="preserve"> 2 Samuel 7:12–13; Esaïe 9:7.</w:t>
      </w:r>
    </w:p>
  </w:endnote>
  <w:endnote w:id="7">
    <w:p w:rsidR="00BA1426" w:rsidRPr="002A34CE" w:rsidRDefault="00BA1426" w:rsidP="00A83016">
      <w:pPr>
        <w:pStyle w:val="EndnoteText"/>
        <w:spacing w:line="360" w:lineRule="auto"/>
        <w:rPr>
          <w:sz w:val="22"/>
        </w:rPr>
      </w:pPr>
      <w:r w:rsidRPr="002A34CE">
        <w:rPr>
          <w:rStyle w:val="EndnoteReference"/>
          <w:sz w:val="22"/>
        </w:rPr>
        <w:endnoteRef/>
      </w:r>
      <w:r w:rsidRPr="002A34CE">
        <w:rPr>
          <w:sz w:val="22"/>
        </w:rPr>
        <w:t xml:space="preserve"> Psaume 45:6–7; Daniel 2:44.</w:t>
      </w:r>
    </w:p>
  </w:endnote>
  <w:endnote w:id="8">
    <w:p w:rsidR="00BA1426" w:rsidRPr="002A34CE" w:rsidRDefault="00BA1426" w:rsidP="00A83016">
      <w:pPr>
        <w:pStyle w:val="EndnoteText"/>
        <w:spacing w:line="360" w:lineRule="auto"/>
        <w:rPr>
          <w:sz w:val="22"/>
        </w:rPr>
      </w:pPr>
      <w:r w:rsidRPr="002A34CE">
        <w:rPr>
          <w:rStyle w:val="EndnoteReference"/>
          <w:sz w:val="22"/>
        </w:rPr>
        <w:endnoteRef/>
      </w:r>
      <w:r w:rsidRPr="002A34CE">
        <w:rPr>
          <w:sz w:val="22"/>
        </w:rPr>
        <w:t xml:space="preserve"> Osée 11:1.</w:t>
      </w:r>
    </w:p>
  </w:endnote>
  <w:endnote w:id="9">
    <w:p w:rsidR="002A34CE" w:rsidRPr="002A34CE" w:rsidRDefault="002A34CE" w:rsidP="00716C3E">
      <w:pPr>
        <w:pStyle w:val="EndnoteText"/>
        <w:spacing w:line="360" w:lineRule="auto"/>
        <w:rPr>
          <w:sz w:val="22"/>
        </w:rPr>
      </w:pPr>
      <w:r>
        <w:rPr>
          <w:rStyle w:val="EndnoteReference"/>
        </w:rPr>
        <w:endnoteRef/>
      </w:r>
      <w:r>
        <w:t xml:space="preserve"> </w:t>
      </w:r>
      <w:r w:rsidRPr="002A34CE">
        <w:rPr>
          <w:sz w:val="22"/>
        </w:rPr>
        <w:t>Matthieu 2:15,17,23; 4:14; 8:17; 12:17; 13:35; 21:4; 26:56; 27:9.</w:t>
      </w:r>
    </w:p>
  </w:endnote>
  <w:endnote w:id="10">
    <w:p w:rsidR="00F373C0" w:rsidRPr="00716C3E" w:rsidRDefault="00F373C0" w:rsidP="00A83016">
      <w:pPr>
        <w:pStyle w:val="EndnoteText"/>
        <w:spacing w:line="360" w:lineRule="auto"/>
        <w:rPr>
          <w:sz w:val="22"/>
        </w:rPr>
      </w:pPr>
      <w:r w:rsidRPr="002A34CE">
        <w:rPr>
          <w:rStyle w:val="EndnoteReference"/>
          <w:sz w:val="22"/>
        </w:rPr>
        <w:endnoteRef/>
      </w:r>
      <w:r w:rsidRPr="002A34CE">
        <w:rPr>
          <w:sz w:val="22"/>
        </w:rPr>
        <w:t xml:space="preserve"> </w:t>
      </w:r>
      <w:r w:rsidRPr="00716C3E">
        <w:rPr>
          <w:sz w:val="22"/>
        </w:rPr>
        <w:t xml:space="preserve">Morris, </w:t>
      </w:r>
      <w:r w:rsidRPr="00716C3E">
        <w:rPr>
          <w:i/>
          <w:sz w:val="22"/>
        </w:rPr>
        <w:t>L’</w:t>
      </w:r>
      <w:r w:rsidR="00BE6D0E" w:rsidRPr="00716C3E">
        <w:rPr>
          <w:i/>
          <w:sz w:val="22"/>
        </w:rPr>
        <w:t>Evangile</w:t>
      </w:r>
      <w:r w:rsidRPr="00716C3E">
        <w:rPr>
          <w:i/>
          <w:sz w:val="22"/>
        </w:rPr>
        <w:t xml:space="preserve"> selon Matthieu,</w:t>
      </w:r>
      <w:r w:rsidRPr="00716C3E">
        <w:rPr>
          <w:sz w:val="22"/>
        </w:rPr>
        <w:t xml:space="preserve"> 24.</w:t>
      </w:r>
    </w:p>
  </w:endnote>
  <w:endnote w:id="11">
    <w:p w:rsidR="0042716A" w:rsidRPr="002A34CE" w:rsidRDefault="0042716A" w:rsidP="00A83016">
      <w:pPr>
        <w:pStyle w:val="EndnoteText"/>
        <w:spacing w:line="360" w:lineRule="auto"/>
        <w:rPr>
          <w:sz w:val="22"/>
        </w:rPr>
      </w:pPr>
      <w:r w:rsidRPr="002A34CE">
        <w:rPr>
          <w:rStyle w:val="EndnoteReference"/>
          <w:sz w:val="22"/>
        </w:rPr>
        <w:endnoteRef/>
      </w:r>
      <w:r w:rsidRPr="002A34CE">
        <w:rPr>
          <w:sz w:val="22"/>
        </w:rPr>
        <w:t xml:space="preserve"> Wright, </w:t>
      </w:r>
      <w:r w:rsidRPr="00716C3E">
        <w:rPr>
          <w:i/>
          <w:sz w:val="22"/>
        </w:rPr>
        <w:t>Matthieu pour tous</w:t>
      </w:r>
      <w:r w:rsidRPr="002A34CE">
        <w:rPr>
          <w:sz w:val="22"/>
        </w:rPr>
        <w:t>, 1ère Partie, 2–3.</w:t>
      </w:r>
    </w:p>
  </w:endnote>
  <w:endnote w:id="12">
    <w:p w:rsidR="004D0C9F" w:rsidRPr="002A34CE" w:rsidRDefault="004D0C9F" w:rsidP="00A83016">
      <w:pPr>
        <w:pStyle w:val="EndnoteText"/>
        <w:spacing w:line="360" w:lineRule="auto"/>
        <w:rPr>
          <w:sz w:val="22"/>
        </w:rPr>
      </w:pPr>
      <w:r w:rsidRPr="002A34CE">
        <w:rPr>
          <w:rStyle w:val="EndnoteReference"/>
          <w:sz w:val="22"/>
        </w:rPr>
        <w:endnoteRef/>
      </w:r>
      <w:r w:rsidRPr="002A34CE">
        <w:rPr>
          <w:sz w:val="22"/>
        </w:rPr>
        <w:t xml:space="preserve"> </w:t>
      </w:r>
      <w:r w:rsidR="00FD3A64" w:rsidRPr="002A34CE">
        <w:rPr>
          <w:sz w:val="22"/>
        </w:rPr>
        <w:t xml:space="preserve">Pour un compte rendu plus détaillé sur ces quatre femmes, voir : </w:t>
      </w:r>
      <w:r w:rsidR="00FD3A64" w:rsidRPr="002A34CE">
        <w:rPr>
          <w:i/>
          <w:sz w:val="22"/>
        </w:rPr>
        <w:t xml:space="preserve">Les cinq femmes de Noël. </w:t>
      </w:r>
    </w:p>
  </w:endnote>
  <w:endnote w:id="13">
    <w:p w:rsidR="00C11BC4" w:rsidRPr="002A34CE" w:rsidRDefault="00C11BC4" w:rsidP="00A83016">
      <w:pPr>
        <w:pStyle w:val="EndnoteText"/>
        <w:spacing w:line="360" w:lineRule="auto"/>
        <w:rPr>
          <w:sz w:val="22"/>
        </w:rPr>
      </w:pPr>
      <w:r w:rsidRPr="002A34CE">
        <w:rPr>
          <w:rStyle w:val="EndnoteReference"/>
          <w:sz w:val="22"/>
        </w:rPr>
        <w:endnoteRef/>
      </w:r>
      <w:r w:rsidRPr="002A34CE">
        <w:rPr>
          <w:sz w:val="22"/>
        </w:rPr>
        <w:t xml:space="preserve"> Morris, </w:t>
      </w:r>
      <w:r w:rsidRPr="002A34CE">
        <w:rPr>
          <w:rStyle w:val="Emphasis"/>
          <w:sz w:val="22"/>
        </w:rPr>
        <w:t>L’</w:t>
      </w:r>
      <w:r w:rsidR="00BE6D0E" w:rsidRPr="002A34CE">
        <w:rPr>
          <w:rStyle w:val="Emphasis"/>
          <w:sz w:val="22"/>
        </w:rPr>
        <w:t>Evangile</w:t>
      </w:r>
      <w:r w:rsidRPr="002A34CE">
        <w:rPr>
          <w:rStyle w:val="Emphasis"/>
          <w:sz w:val="22"/>
        </w:rPr>
        <w:t xml:space="preserve"> selon Matthieu</w:t>
      </w:r>
      <w:r w:rsidRPr="002A34CE">
        <w:rPr>
          <w:sz w:val="22"/>
        </w:rPr>
        <w:t>, 23.</w:t>
      </w:r>
    </w:p>
  </w:endnote>
  <w:endnote w:id="14">
    <w:p w:rsidR="007D1B1D" w:rsidRPr="002A34CE" w:rsidRDefault="007D1B1D" w:rsidP="00A83016">
      <w:pPr>
        <w:pStyle w:val="EndnoteText"/>
        <w:spacing w:line="360" w:lineRule="auto"/>
        <w:rPr>
          <w:sz w:val="22"/>
        </w:rPr>
      </w:pPr>
      <w:r w:rsidRPr="002A34CE">
        <w:rPr>
          <w:rStyle w:val="EndnoteReference"/>
          <w:sz w:val="22"/>
        </w:rPr>
        <w:endnoteRef/>
      </w:r>
      <w:r w:rsidRPr="002A34CE">
        <w:rPr>
          <w:sz w:val="22"/>
        </w:rPr>
        <w:t xml:space="preserve"> Luc 3:38</w:t>
      </w:r>
      <w:r w:rsidR="004B4D94" w:rsidRPr="002A34CE">
        <w:rPr>
          <w:sz w:val="22"/>
        </w:rPr>
        <w:t xml:space="preserve"> BFC</w:t>
      </w:r>
      <w:r w:rsidRPr="002A34CE">
        <w:rPr>
          <w:sz w:val="22"/>
        </w:rPr>
        <w:t>.</w:t>
      </w:r>
    </w:p>
  </w:endnote>
  <w:endnote w:id="15">
    <w:p w:rsidR="004B4D94" w:rsidRPr="002A34CE" w:rsidRDefault="004B4D94" w:rsidP="00A83016">
      <w:pPr>
        <w:pStyle w:val="EndnoteText"/>
        <w:spacing w:line="360" w:lineRule="auto"/>
        <w:rPr>
          <w:sz w:val="22"/>
        </w:rPr>
      </w:pPr>
      <w:r w:rsidRPr="002A34CE">
        <w:rPr>
          <w:rStyle w:val="EndnoteReference"/>
          <w:sz w:val="22"/>
        </w:rPr>
        <w:endnoteRef/>
      </w:r>
      <w:r w:rsidRPr="002A34CE">
        <w:rPr>
          <w:sz w:val="22"/>
        </w:rPr>
        <w:t xml:space="preserve"> Luc 3:22.</w:t>
      </w:r>
    </w:p>
  </w:endnote>
  <w:endnote w:id="16">
    <w:p w:rsidR="00A83016" w:rsidRPr="002A34CE" w:rsidRDefault="00D41943" w:rsidP="00A83016">
      <w:pPr>
        <w:pStyle w:val="EndnoteText"/>
        <w:spacing w:line="276" w:lineRule="auto"/>
        <w:rPr>
          <w:sz w:val="22"/>
        </w:rPr>
      </w:pPr>
      <w:r w:rsidRPr="002A34CE">
        <w:rPr>
          <w:rStyle w:val="EndnoteReference"/>
          <w:sz w:val="22"/>
        </w:rPr>
        <w:endnoteRef/>
      </w:r>
      <w:r w:rsidRPr="002A34CE">
        <w:rPr>
          <w:sz w:val="22"/>
        </w:rPr>
        <w:t xml:space="preserve"> </w:t>
      </w:r>
      <w:r w:rsidR="008C49DA" w:rsidRPr="002A34CE">
        <w:rPr>
          <w:sz w:val="22"/>
        </w:rPr>
        <w:t xml:space="preserve">Certaines </w:t>
      </w:r>
      <w:r w:rsidRPr="002A34CE">
        <w:rPr>
          <w:sz w:val="22"/>
        </w:rPr>
        <w:t xml:space="preserve">divergences </w:t>
      </w:r>
      <w:r w:rsidR="008C49DA" w:rsidRPr="002A34CE">
        <w:rPr>
          <w:sz w:val="22"/>
        </w:rPr>
        <w:t xml:space="preserve">apparaissent </w:t>
      </w:r>
      <w:r w:rsidRPr="002A34CE">
        <w:rPr>
          <w:sz w:val="22"/>
        </w:rPr>
        <w:t>entre la généalogie de Matthieu et celle de Luc. Beaucoup d’encre a coulé</w:t>
      </w:r>
      <w:r w:rsidR="00EE4497" w:rsidRPr="002A34CE">
        <w:rPr>
          <w:sz w:val="22"/>
        </w:rPr>
        <w:t>,</w:t>
      </w:r>
      <w:r w:rsidRPr="002A34CE">
        <w:rPr>
          <w:sz w:val="22"/>
        </w:rPr>
        <w:t xml:space="preserve"> au cours des siècles</w:t>
      </w:r>
      <w:r w:rsidR="00EE4497" w:rsidRPr="002A34CE">
        <w:rPr>
          <w:sz w:val="22"/>
        </w:rPr>
        <w:t>,</w:t>
      </w:r>
      <w:r w:rsidRPr="002A34CE">
        <w:rPr>
          <w:sz w:val="22"/>
        </w:rPr>
        <w:t xml:space="preserve"> pour tenter d’expliquer ces </w:t>
      </w:r>
      <w:r w:rsidR="004A4D30" w:rsidRPr="002A34CE">
        <w:rPr>
          <w:sz w:val="22"/>
        </w:rPr>
        <w:t>diff</w:t>
      </w:r>
      <w:r w:rsidR="004A51A8" w:rsidRPr="002A34CE">
        <w:rPr>
          <w:sz w:val="22"/>
        </w:rPr>
        <w:t>é</w:t>
      </w:r>
      <w:r w:rsidR="004A4D30" w:rsidRPr="002A34CE">
        <w:rPr>
          <w:sz w:val="22"/>
        </w:rPr>
        <w:t>rences.</w:t>
      </w:r>
      <w:r w:rsidRPr="002A34CE">
        <w:rPr>
          <w:sz w:val="22"/>
        </w:rPr>
        <w:t xml:space="preserve"> </w:t>
      </w:r>
      <w:r w:rsidR="00BA1546" w:rsidRPr="002A34CE">
        <w:rPr>
          <w:sz w:val="22"/>
        </w:rPr>
        <w:t xml:space="preserve">D’aucuns </w:t>
      </w:r>
      <w:r w:rsidR="004A4D30" w:rsidRPr="002A34CE">
        <w:rPr>
          <w:sz w:val="22"/>
        </w:rPr>
        <w:t xml:space="preserve">expliquent que </w:t>
      </w:r>
      <w:r w:rsidRPr="002A34CE">
        <w:rPr>
          <w:sz w:val="22"/>
        </w:rPr>
        <w:t xml:space="preserve">Matthieu </w:t>
      </w:r>
      <w:r w:rsidR="004A4D30" w:rsidRPr="002A34CE">
        <w:rPr>
          <w:sz w:val="22"/>
        </w:rPr>
        <w:t xml:space="preserve">retrace la généalogie de </w:t>
      </w:r>
      <w:r w:rsidRPr="002A34CE">
        <w:rPr>
          <w:sz w:val="22"/>
        </w:rPr>
        <w:t>Joseph</w:t>
      </w:r>
      <w:r w:rsidR="004A4D30" w:rsidRPr="002A34CE">
        <w:rPr>
          <w:sz w:val="22"/>
        </w:rPr>
        <w:t>, tandis que Luc retrace celle de M</w:t>
      </w:r>
      <w:r w:rsidRPr="002A34CE">
        <w:rPr>
          <w:sz w:val="22"/>
        </w:rPr>
        <w:t>ar</w:t>
      </w:r>
      <w:r w:rsidR="004A4D30" w:rsidRPr="002A34CE">
        <w:rPr>
          <w:sz w:val="22"/>
        </w:rPr>
        <w:t>ie</w:t>
      </w:r>
      <w:r w:rsidR="00EE4497" w:rsidRPr="002A34CE">
        <w:rPr>
          <w:sz w:val="22"/>
        </w:rPr>
        <w:t> ;</w:t>
      </w:r>
      <w:r w:rsidR="004A4D30" w:rsidRPr="002A34CE">
        <w:rPr>
          <w:sz w:val="22"/>
        </w:rPr>
        <w:t xml:space="preserve"> d’autres disent qu’un des récit</w:t>
      </w:r>
      <w:r w:rsidR="00352F9A" w:rsidRPr="002A34CE">
        <w:rPr>
          <w:sz w:val="22"/>
        </w:rPr>
        <w:t xml:space="preserve">s </w:t>
      </w:r>
      <w:r w:rsidR="004A4D30" w:rsidRPr="002A34CE">
        <w:rPr>
          <w:sz w:val="22"/>
        </w:rPr>
        <w:t>mentionne un lévirat</w:t>
      </w:r>
      <w:r w:rsidR="004A51A8" w:rsidRPr="002A34CE">
        <w:rPr>
          <w:sz w:val="22"/>
        </w:rPr>
        <w:t>,</w:t>
      </w:r>
      <w:r w:rsidR="004A4D30" w:rsidRPr="002A34CE">
        <w:rPr>
          <w:sz w:val="22"/>
        </w:rPr>
        <w:t xml:space="preserve"> ce qui explique</w:t>
      </w:r>
      <w:r w:rsidR="004A51A8" w:rsidRPr="002A34CE">
        <w:rPr>
          <w:sz w:val="22"/>
        </w:rPr>
        <w:t>rai</w:t>
      </w:r>
      <w:r w:rsidR="00EE4497" w:rsidRPr="002A34CE">
        <w:rPr>
          <w:sz w:val="22"/>
        </w:rPr>
        <w:t>t</w:t>
      </w:r>
      <w:r w:rsidR="004A4D30" w:rsidRPr="002A34CE">
        <w:rPr>
          <w:sz w:val="22"/>
        </w:rPr>
        <w:t xml:space="preserve"> les divergences. </w:t>
      </w:r>
      <w:r w:rsidR="00352F9A" w:rsidRPr="002A34CE">
        <w:rPr>
          <w:sz w:val="22"/>
        </w:rPr>
        <w:t>Beaucoup d’autres explications ont été avancé</w:t>
      </w:r>
      <w:r w:rsidR="00EE4497" w:rsidRPr="002A34CE">
        <w:rPr>
          <w:sz w:val="22"/>
        </w:rPr>
        <w:t>e</w:t>
      </w:r>
      <w:r w:rsidR="00352F9A" w:rsidRPr="002A34CE">
        <w:rPr>
          <w:sz w:val="22"/>
        </w:rPr>
        <w:t xml:space="preserve">s à ce propos. </w:t>
      </w:r>
      <w:r w:rsidR="004A51A8" w:rsidRPr="002A34CE">
        <w:rPr>
          <w:sz w:val="22"/>
        </w:rPr>
        <w:t xml:space="preserve">C’est un point d’une importance capitale pour ceux qui croient à l’inerrance de la Bible, c'est-à-dire ceux qui considèrent que chaque mot de la Bible est marqué du sceau de l’exactitude. Ce n’est pas aussi important pour ceux qui croient à l’infaillibilité de la Bible, </w:t>
      </w:r>
      <w:r w:rsidR="00C96498" w:rsidRPr="002A34CE">
        <w:rPr>
          <w:sz w:val="22"/>
        </w:rPr>
        <w:t xml:space="preserve">c'est-à-dire ceux </w:t>
      </w:r>
      <w:r w:rsidR="004A51A8" w:rsidRPr="002A34CE">
        <w:rPr>
          <w:sz w:val="22"/>
        </w:rPr>
        <w:t>qui estiment que l’enseignement de la Bible est absolument véridique,</w:t>
      </w:r>
      <w:r w:rsidR="00C96498" w:rsidRPr="002A34CE">
        <w:rPr>
          <w:sz w:val="22"/>
        </w:rPr>
        <w:t xml:space="preserve"> sans exiger pour autant </w:t>
      </w:r>
      <w:r w:rsidR="004A51A8" w:rsidRPr="002A34CE">
        <w:rPr>
          <w:sz w:val="22"/>
        </w:rPr>
        <w:t xml:space="preserve">que chaque </w:t>
      </w:r>
      <w:r w:rsidR="001F3335" w:rsidRPr="002A34CE">
        <w:rPr>
          <w:sz w:val="22"/>
        </w:rPr>
        <w:t>parole</w:t>
      </w:r>
      <w:r w:rsidR="004A51A8" w:rsidRPr="002A34CE">
        <w:rPr>
          <w:sz w:val="22"/>
        </w:rPr>
        <w:t xml:space="preserve"> </w:t>
      </w:r>
      <w:r w:rsidR="00C96498" w:rsidRPr="002A34CE">
        <w:rPr>
          <w:sz w:val="22"/>
        </w:rPr>
        <w:t>énoncé</w:t>
      </w:r>
      <w:r w:rsidR="001F3335" w:rsidRPr="002A34CE">
        <w:rPr>
          <w:sz w:val="22"/>
        </w:rPr>
        <w:t>e</w:t>
      </w:r>
      <w:r w:rsidR="004A51A8" w:rsidRPr="002A34CE">
        <w:rPr>
          <w:sz w:val="22"/>
        </w:rPr>
        <w:t xml:space="preserve"> soit </w:t>
      </w:r>
      <w:r w:rsidR="001F3335" w:rsidRPr="002A34CE">
        <w:rPr>
          <w:sz w:val="22"/>
        </w:rPr>
        <w:t>exacte</w:t>
      </w:r>
      <w:r w:rsidR="004A51A8" w:rsidRPr="002A34CE">
        <w:rPr>
          <w:sz w:val="22"/>
        </w:rPr>
        <w:t xml:space="preserve">. </w:t>
      </w:r>
      <w:r w:rsidRPr="002A34CE">
        <w:rPr>
          <w:sz w:val="22"/>
        </w:rPr>
        <w:t xml:space="preserve">Matthieu </w:t>
      </w:r>
      <w:r w:rsidR="0058486E" w:rsidRPr="002A34CE">
        <w:rPr>
          <w:sz w:val="22"/>
        </w:rPr>
        <w:t xml:space="preserve">et </w:t>
      </w:r>
      <w:r w:rsidRPr="002A34CE">
        <w:rPr>
          <w:sz w:val="22"/>
        </w:rPr>
        <w:t xml:space="preserve">Luc </w:t>
      </w:r>
      <w:r w:rsidR="0058486E" w:rsidRPr="002A34CE">
        <w:rPr>
          <w:sz w:val="22"/>
        </w:rPr>
        <w:t>enseignent tous deux que</w:t>
      </w:r>
      <w:r w:rsidRPr="002A34CE">
        <w:rPr>
          <w:sz w:val="22"/>
        </w:rPr>
        <w:t xml:space="preserve"> J</w:t>
      </w:r>
      <w:r w:rsidR="0058486E" w:rsidRPr="002A34CE">
        <w:rPr>
          <w:sz w:val="22"/>
        </w:rPr>
        <w:t>é</w:t>
      </w:r>
      <w:r w:rsidRPr="002A34CE">
        <w:rPr>
          <w:sz w:val="22"/>
        </w:rPr>
        <w:t xml:space="preserve">sus </w:t>
      </w:r>
      <w:r w:rsidR="0058486E" w:rsidRPr="002A34CE">
        <w:rPr>
          <w:sz w:val="22"/>
        </w:rPr>
        <w:t>était un de</w:t>
      </w:r>
      <w:r w:rsidR="00F960EE" w:rsidRPr="002A34CE">
        <w:rPr>
          <w:sz w:val="22"/>
        </w:rPr>
        <w:t>s</w:t>
      </w:r>
      <w:r w:rsidR="0058486E" w:rsidRPr="002A34CE">
        <w:rPr>
          <w:sz w:val="22"/>
        </w:rPr>
        <w:t>c</w:t>
      </w:r>
      <w:r w:rsidRPr="002A34CE">
        <w:rPr>
          <w:sz w:val="22"/>
        </w:rPr>
        <w:t xml:space="preserve">endant </w:t>
      </w:r>
      <w:r w:rsidR="0058486E" w:rsidRPr="002A34CE">
        <w:rPr>
          <w:sz w:val="22"/>
        </w:rPr>
        <w:t xml:space="preserve">du roi </w:t>
      </w:r>
      <w:r w:rsidRPr="002A34CE">
        <w:rPr>
          <w:sz w:val="22"/>
        </w:rPr>
        <w:t xml:space="preserve">David, </w:t>
      </w:r>
      <w:r w:rsidR="0058486E" w:rsidRPr="002A34CE">
        <w:rPr>
          <w:sz w:val="22"/>
        </w:rPr>
        <w:t xml:space="preserve">ce qui est conforme aux prophéties de l’Ancien </w:t>
      </w:r>
      <w:r w:rsidRPr="002A34CE">
        <w:rPr>
          <w:sz w:val="22"/>
        </w:rPr>
        <w:t>Testament</w:t>
      </w:r>
      <w:r w:rsidR="0058486E" w:rsidRPr="002A34CE">
        <w:rPr>
          <w:sz w:val="22"/>
        </w:rPr>
        <w:t>.</w:t>
      </w:r>
    </w:p>
  </w:endnote>
  <w:endnote w:id="17">
    <w:p w:rsidR="00775A87" w:rsidRPr="00775A87" w:rsidRDefault="00775A87" w:rsidP="00A83016">
      <w:pPr>
        <w:pStyle w:val="EndnoteText"/>
        <w:spacing w:line="360" w:lineRule="auto"/>
        <w:rPr>
          <w:sz w:val="14"/>
        </w:rPr>
      </w:pPr>
    </w:p>
    <w:p w:rsidR="00BA3F04" w:rsidRPr="002A34CE" w:rsidRDefault="00BA3F04" w:rsidP="00A83016">
      <w:pPr>
        <w:pStyle w:val="EndnoteText"/>
        <w:spacing w:line="360" w:lineRule="auto"/>
        <w:rPr>
          <w:sz w:val="22"/>
        </w:rPr>
      </w:pPr>
      <w:r w:rsidRPr="002A34CE">
        <w:rPr>
          <w:rStyle w:val="EndnoteReference"/>
          <w:sz w:val="22"/>
        </w:rPr>
        <w:endnoteRef/>
      </w:r>
      <w:r w:rsidRPr="002A34CE">
        <w:rPr>
          <w:sz w:val="22"/>
        </w:rPr>
        <w:t xml:space="preserve"> Matthieu 1:18.</w:t>
      </w:r>
    </w:p>
  </w:endnote>
  <w:endnote w:id="18">
    <w:p w:rsidR="00BA3F04" w:rsidRPr="002A34CE" w:rsidRDefault="00BA3F04" w:rsidP="00A83016">
      <w:pPr>
        <w:pStyle w:val="EndnoteText"/>
        <w:spacing w:line="360" w:lineRule="auto"/>
        <w:rPr>
          <w:sz w:val="22"/>
        </w:rPr>
      </w:pPr>
      <w:r w:rsidRPr="002A34CE">
        <w:rPr>
          <w:rStyle w:val="EndnoteReference"/>
          <w:sz w:val="22"/>
        </w:rPr>
        <w:endnoteRef/>
      </w:r>
      <w:r w:rsidRPr="002A34CE">
        <w:rPr>
          <w:sz w:val="22"/>
        </w:rPr>
        <w:t xml:space="preserve"> Brown, La naissance du Messie, 123–24.</w:t>
      </w:r>
    </w:p>
  </w:endnote>
  <w:endnote w:id="19">
    <w:p w:rsidR="001550A1" w:rsidRPr="002A34CE" w:rsidRDefault="001550A1" w:rsidP="00A83016">
      <w:pPr>
        <w:pStyle w:val="EndnoteText"/>
        <w:spacing w:line="360" w:lineRule="auto"/>
        <w:rPr>
          <w:sz w:val="22"/>
        </w:rPr>
      </w:pPr>
      <w:r w:rsidRPr="002A34CE">
        <w:rPr>
          <w:rStyle w:val="EndnoteReference"/>
          <w:sz w:val="22"/>
        </w:rPr>
        <w:endnoteRef/>
      </w:r>
      <w:r w:rsidRPr="002A34CE">
        <w:rPr>
          <w:sz w:val="22"/>
        </w:rPr>
        <w:t xml:space="preserve"> </w:t>
      </w:r>
      <w:r w:rsidR="00F51E7B" w:rsidRPr="002A34CE">
        <w:rPr>
          <w:sz w:val="22"/>
        </w:rPr>
        <w:t>Luc 1:26–27.</w:t>
      </w:r>
    </w:p>
  </w:endnote>
  <w:endnote w:id="20">
    <w:p w:rsidR="00342139" w:rsidRPr="002A34CE" w:rsidRDefault="00342139" w:rsidP="00A83016">
      <w:pPr>
        <w:pStyle w:val="EndnoteText"/>
        <w:spacing w:line="360" w:lineRule="auto"/>
        <w:rPr>
          <w:sz w:val="22"/>
        </w:rPr>
      </w:pPr>
      <w:r w:rsidRPr="002A34CE">
        <w:rPr>
          <w:rStyle w:val="EndnoteReference"/>
          <w:sz w:val="22"/>
        </w:rPr>
        <w:endnoteRef/>
      </w:r>
      <w:r w:rsidRPr="002A34CE">
        <w:rPr>
          <w:sz w:val="22"/>
        </w:rPr>
        <w:t xml:space="preserve"> Luc 1:31–33.</w:t>
      </w:r>
    </w:p>
  </w:endnote>
  <w:endnote w:id="21">
    <w:p w:rsidR="00D321CB" w:rsidRPr="002A34CE" w:rsidRDefault="00D321CB" w:rsidP="00A83016">
      <w:pPr>
        <w:pStyle w:val="EndnoteText"/>
        <w:spacing w:line="360" w:lineRule="auto"/>
        <w:rPr>
          <w:sz w:val="22"/>
        </w:rPr>
      </w:pPr>
      <w:r w:rsidRPr="002A34CE">
        <w:rPr>
          <w:rStyle w:val="EndnoteReference"/>
          <w:sz w:val="22"/>
        </w:rPr>
        <w:endnoteRef/>
      </w:r>
      <w:r w:rsidRPr="002A34CE">
        <w:rPr>
          <w:sz w:val="22"/>
        </w:rPr>
        <w:t xml:space="preserve"> </w:t>
      </w:r>
      <w:r w:rsidR="007E32CD" w:rsidRPr="002A34CE">
        <w:rPr>
          <w:sz w:val="22"/>
        </w:rPr>
        <w:t>Luc 1:35.</w:t>
      </w:r>
    </w:p>
  </w:endnote>
  <w:endnote w:id="22">
    <w:p w:rsidR="00BA3F04" w:rsidRPr="002A34CE" w:rsidRDefault="00BA3F04" w:rsidP="00A83016">
      <w:pPr>
        <w:pStyle w:val="EndnoteText"/>
        <w:spacing w:line="360" w:lineRule="auto"/>
        <w:rPr>
          <w:sz w:val="22"/>
        </w:rPr>
      </w:pPr>
      <w:r w:rsidRPr="002A34CE">
        <w:rPr>
          <w:rStyle w:val="EndnoteReference"/>
          <w:sz w:val="22"/>
        </w:rPr>
        <w:endnoteRef/>
      </w:r>
      <w:r w:rsidRPr="002A34CE">
        <w:rPr>
          <w:sz w:val="22"/>
        </w:rPr>
        <w:t xml:space="preserve"> Brown, La naissance du Messie, 124.</w:t>
      </w:r>
    </w:p>
  </w:endnote>
  <w:endnote w:id="23">
    <w:p w:rsidR="00BA3F04" w:rsidRPr="002A34CE" w:rsidRDefault="00BA3F04" w:rsidP="00A83016">
      <w:pPr>
        <w:pStyle w:val="EndnoteText"/>
        <w:spacing w:line="360" w:lineRule="auto"/>
        <w:rPr>
          <w:sz w:val="22"/>
        </w:rPr>
      </w:pPr>
      <w:r w:rsidRPr="002A34CE">
        <w:rPr>
          <w:rStyle w:val="EndnoteReference"/>
          <w:sz w:val="22"/>
        </w:rPr>
        <w:endnoteRef/>
      </w:r>
      <w:r w:rsidRPr="002A34CE">
        <w:rPr>
          <w:sz w:val="22"/>
        </w:rPr>
        <w:t xml:space="preserve"> Idem, 137.</w:t>
      </w:r>
    </w:p>
  </w:endnote>
  <w:endnote w:id="24">
    <w:p w:rsidR="007E32CD" w:rsidRPr="002A34CE" w:rsidRDefault="007E32CD" w:rsidP="00A83016">
      <w:pPr>
        <w:pStyle w:val="EndnoteText"/>
        <w:spacing w:line="360" w:lineRule="auto"/>
        <w:rPr>
          <w:sz w:val="22"/>
        </w:rPr>
      </w:pPr>
      <w:r w:rsidRPr="002A34CE">
        <w:rPr>
          <w:rStyle w:val="EndnoteReference"/>
          <w:sz w:val="22"/>
        </w:rPr>
        <w:endnoteRef/>
      </w:r>
      <w:r w:rsidRPr="002A34CE">
        <w:rPr>
          <w:sz w:val="22"/>
        </w:rPr>
        <w:t xml:space="preserve"> </w:t>
      </w:r>
      <w:r w:rsidR="006416EE" w:rsidRPr="002A34CE">
        <w:rPr>
          <w:sz w:val="22"/>
        </w:rPr>
        <w:t>Luc 1:38.</w:t>
      </w:r>
    </w:p>
  </w:endnote>
  <w:endnote w:id="25">
    <w:p w:rsidR="00BA3F04" w:rsidRPr="002A34CE" w:rsidRDefault="00BA3F04" w:rsidP="00A83016">
      <w:pPr>
        <w:pStyle w:val="EndnoteText"/>
        <w:spacing w:line="360" w:lineRule="auto"/>
        <w:rPr>
          <w:sz w:val="22"/>
        </w:rPr>
      </w:pPr>
      <w:r w:rsidRPr="002A34CE">
        <w:rPr>
          <w:rStyle w:val="EndnoteReference"/>
          <w:sz w:val="22"/>
        </w:rPr>
        <w:endnoteRef/>
      </w:r>
      <w:r w:rsidRPr="002A34CE">
        <w:rPr>
          <w:sz w:val="22"/>
        </w:rPr>
        <w:t xml:space="preserve"> Sheen, </w:t>
      </w:r>
      <w:r w:rsidRPr="002A34CE">
        <w:rPr>
          <w:rStyle w:val="Emphasis"/>
          <w:sz w:val="22"/>
        </w:rPr>
        <w:t>Vie du Christ</w:t>
      </w:r>
      <w:r w:rsidRPr="002A34CE">
        <w:rPr>
          <w:sz w:val="22"/>
        </w:rPr>
        <w:t>, 9–10.</w:t>
      </w:r>
    </w:p>
  </w:endnote>
  <w:endnote w:id="26">
    <w:p w:rsidR="00D24392" w:rsidRPr="002A34CE" w:rsidRDefault="00D24392" w:rsidP="00A83016">
      <w:pPr>
        <w:pStyle w:val="EndnoteText"/>
        <w:spacing w:line="360" w:lineRule="auto"/>
        <w:rPr>
          <w:sz w:val="22"/>
        </w:rPr>
      </w:pPr>
      <w:r w:rsidRPr="002A34CE">
        <w:rPr>
          <w:rStyle w:val="EndnoteReference"/>
          <w:sz w:val="22"/>
        </w:rPr>
        <w:endnoteRef/>
      </w:r>
      <w:r w:rsidRPr="002A34CE">
        <w:rPr>
          <w:sz w:val="22"/>
        </w:rPr>
        <w:t xml:space="preserve"> Luc 1:39.</w:t>
      </w:r>
    </w:p>
  </w:endnote>
  <w:endnote w:id="27">
    <w:p w:rsidR="00BB7FA9" w:rsidRPr="002A34CE" w:rsidRDefault="00BB7FA9" w:rsidP="00A83016">
      <w:pPr>
        <w:pStyle w:val="EndnoteText"/>
        <w:spacing w:line="360" w:lineRule="auto"/>
        <w:rPr>
          <w:sz w:val="22"/>
        </w:rPr>
      </w:pPr>
      <w:r w:rsidRPr="002A34CE">
        <w:rPr>
          <w:rStyle w:val="EndnoteReference"/>
          <w:sz w:val="22"/>
        </w:rPr>
        <w:endnoteRef/>
      </w:r>
      <w:r w:rsidRPr="002A34CE">
        <w:rPr>
          <w:sz w:val="22"/>
        </w:rPr>
        <w:t xml:space="preserve"> Matthieu 1:18.</w:t>
      </w:r>
    </w:p>
  </w:endnote>
  <w:endnote w:id="28">
    <w:p w:rsidR="005A4099" w:rsidRPr="002A34CE" w:rsidRDefault="005A4099" w:rsidP="00A83016">
      <w:pPr>
        <w:pStyle w:val="EndnoteText"/>
        <w:spacing w:line="360" w:lineRule="auto"/>
        <w:rPr>
          <w:sz w:val="22"/>
        </w:rPr>
      </w:pPr>
      <w:r w:rsidRPr="002A34CE">
        <w:rPr>
          <w:rStyle w:val="EndnoteReference"/>
          <w:sz w:val="22"/>
        </w:rPr>
        <w:endnoteRef/>
      </w:r>
      <w:r w:rsidRPr="002A34CE">
        <w:rPr>
          <w:sz w:val="22"/>
        </w:rPr>
        <w:t xml:space="preserve"> Matthieu 1:20 PVV.</w:t>
      </w:r>
    </w:p>
  </w:endnote>
  <w:endnote w:id="29">
    <w:p w:rsidR="00A94742" w:rsidRPr="002A34CE" w:rsidRDefault="00A94742" w:rsidP="00A83016">
      <w:pPr>
        <w:pStyle w:val="EndnoteText"/>
        <w:spacing w:line="360" w:lineRule="auto"/>
        <w:rPr>
          <w:sz w:val="22"/>
        </w:rPr>
      </w:pPr>
      <w:r w:rsidRPr="002A34CE">
        <w:rPr>
          <w:rStyle w:val="EndnoteReference"/>
          <w:sz w:val="22"/>
        </w:rPr>
        <w:endnoteRef/>
      </w:r>
      <w:r w:rsidRPr="002A34CE">
        <w:rPr>
          <w:sz w:val="22"/>
        </w:rPr>
        <w:t xml:space="preserve"> Bailey, </w:t>
      </w:r>
      <w:r w:rsidRPr="002A34CE">
        <w:rPr>
          <w:rStyle w:val="Emphasis"/>
          <w:sz w:val="22"/>
        </w:rPr>
        <w:t>Jésus à travers le regard du Moyen-Orient</w:t>
      </w:r>
      <w:r w:rsidRPr="002A34CE">
        <w:rPr>
          <w:sz w:val="22"/>
        </w:rPr>
        <w:t>, 46.</w:t>
      </w:r>
    </w:p>
  </w:endnote>
  <w:endnote w:id="30">
    <w:p w:rsidR="00A94742" w:rsidRPr="002A34CE" w:rsidRDefault="00A94742" w:rsidP="00A83016">
      <w:pPr>
        <w:pStyle w:val="EndnoteText"/>
        <w:spacing w:line="276" w:lineRule="auto"/>
        <w:rPr>
          <w:sz w:val="22"/>
        </w:rPr>
      </w:pPr>
      <w:r w:rsidRPr="002A34CE">
        <w:rPr>
          <w:rStyle w:val="EndnoteReference"/>
          <w:sz w:val="22"/>
        </w:rPr>
        <w:endnoteRef/>
      </w:r>
      <w:r w:rsidRPr="002A34CE">
        <w:rPr>
          <w:sz w:val="22"/>
        </w:rPr>
        <w:t xml:space="preserve"> Si, au contraire, l’accusation s’avère fondée et si la virginité de la jeune femme n’est pas prouvée, on l’amènera à l’entrée de la maison de son père, ses concitoyens la feront mourir à coups de pierres parce qu’elle a commis une chose infâme en Israël</w:t>
      </w:r>
      <w:r w:rsidR="00086AA3" w:rsidRPr="002A34CE">
        <w:rPr>
          <w:sz w:val="22"/>
        </w:rPr>
        <w:t>,</w:t>
      </w:r>
      <w:r w:rsidRPr="002A34CE">
        <w:rPr>
          <w:sz w:val="22"/>
        </w:rPr>
        <w:t xml:space="preserve"> en se déshonorant lorsqu’elle vivait encore dans la maison de son père. Ainsi vous ferez disparaître du milieu de vous la souillure qu’entraîne le mal. (Deutéronome 22:20–21).</w:t>
      </w:r>
    </w:p>
  </w:endnote>
  <w:endnote w:id="31">
    <w:p w:rsidR="00A83016" w:rsidRPr="002A34CE" w:rsidRDefault="00A83016" w:rsidP="00A83016">
      <w:pPr>
        <w:pStyle w:val="EndnoteText"/>
        <w:spacing w:line="360" w:lineRule="auto"/>
        <w:rPr>
          <w:sz w:val="18"/>
        </w:rPr>
      </w:pPr>
    </w:p>
    <w:p w:rsidR="003A310A" w:rsidRPr="002A34CE" w:rsidRDefault="003A310A" w:rsidP="00A83016">
      <w:pPr>
        <w:pStyle w:val="EndnoteText"/>
        <w:spacing w:line="360" w:lineRule="auto"/>
        <w:rPr>
          <w:sz w:val="22"/>
        </w:rPr>
      </w:pPr>
      <w:r w:rsidRPr="002A34CE">
        <w:rPr>
          <w:rStyle w:val="EndnoteReference"/>
          <w:sz w:val="22"/>
        </w:rPr>
        <w:endnoteRef/>
      </w:r>
      <w:r w:rsidRPr="002A34CE">
        <w:rPr>
          <w:sz w:val="22"/>
        </w:rPr>
        <w:t xml:space="preserve"> Matthieu 1:19.</w:t>
      </w:r>
    </w:p>
  </w:endnote>
  <w:endnote w:id="32">
    <w:p w:rsidR="00FE0404" w:rsidRPr="002A34CE" w:rsidRDefault="00FE0404" w:rsidP="00A83016">
      <w:pPr>
        <w:pStyle w:val="EndnoteText"/>
        <w:spacing w:line="360" w:lineRule="auto"/>
        <w:rPr>
          <w:sz w:val="22"/>
        </w:rPr>
      </w:pPr>
      <w:r w:rsidRPr="002A34CE">
        <w:rPr>
          <w:rStyle w:val="EndnoteReference"/>
          <w:sz w:val="22"/>
        </w:rPr>
        <w:endnoteRef/>
      </w:r>
      <w:r w:rsidRPr="002A34CE">
        <w:rPr>
          <w:sz w:val="22"/>
        </w:rPr>
        <w:t xml:space="preserve"> Brown, </w:t>
      </w:r>
      <w:r w:rsidRPr="002A34CE">
        <w:rPr>
          <w:rStyle w:val="Emphasis"/>
          <w:sz w:val="22"/>
        </w:rPr>
        <w:t>La naissance du Messie</w:t>
      </w:r>
      <w:r w:rsidRPr="002A34CE">
        <w:rPr>
          <w:sz w:val="22"/>
        </w:rPr>
        <w:t>, 128.</w:t>
      </w:r>
    </w:p>
  </w:endnote>
  <w:endnote w:id="33">
    <w:p w:rsidR="00D34B27" w:rsidRPr="002A34CE" w:rsidRDefault="00D34B27" w:rsidP="00A83016">
      <w:pPr>
        <w:pStyle w:val="EndnoteText"/>
        <w:spacing w:line="360" w:lineRule="auto"/>
        <w:rPr>
          <w:sz w:val="22"/>
        </w:rPr>
      </w:pPr>
      <w:r w:rsidRPr="002A34CE">
        <w:rPr>
          <w:rStyle w:val="EndnoteReference"/>
          <w:sz w:val="22"/>
        </w:rPr>
        <w:endnoteRef/>
      </w:r>
      <w:r w:rsidRPr="002A34CE">
        <w:rPr>
          <w:sz w:val="22"/>
        </w:rPr>
        <w:t xml:space="preserve"> Matthieu 1:20–21, 24–25.</w:t>
      </w:r>
    </w:p>
  </w:endnote>
  <w:endnote w:id="34">
    <w:p w:rsidR="00BA3F04" w:rsidRPr="002A34CE" w:rsidRDefault="00BA3F04" w:rsidP="00A83016">
      <w:pPr>
        <w:pStyle w:val="EndnoteText"/>
        <w:spacing w:line="360" w:lineRule="auto"/>
        <w:rPr>
          <w:sz w:val="22"/>
        </w:rPr>
      </w:pPr>
      <w:r w:rsidRPr="002A34CE">
        <w:rPr>
          <w:rStyle w:val="EndnoteReference"/>
          <w:sz w:val="22"/>
        </w:rPr>
        <w:endnoteRef/>
      </w:r>
      <w:r w:rsidRPr="002A34CE">
        <w:rPr>
          <w:sz w:val="22"/>
        </w:rPr>
        <w:t xml:space="preserve"> Brown, </w:t>
      </w:r>
      <w:r w:rsidRPr="002A34CE">
        <w:rPr>
          <w:rStyle w:val="Emphasis"/>
          <w:sz w:val="22"/>
        </w:rPr>
        <w:t>La naissance du Messie</w:t>
      </w:r>
      <w:r w:rsidRPr="002A34CE">
        <w:rPr>
          <w:sz w:val="22"/>
        </w:rPr>
        <w:t>, 139.</w:t>
      </w:r>
    </w:p>
  </w:endnote>
  <w:endnote w:id="35">
    <w:p w:rsidR="00B028CB" w:rsidRPr="002A34CE" w:rsidRDefault="00B028CB" w:rsidP="00A83016">
      <w:pPr>
        <w:pStyle w:val="EndnoteText"/>
        <w:spacing w:line="360" w:lineRule="auto"/>
        <w:rPr>
          <w:sz w:val="22"/>
        </w:rPr>
      </w:pPr>
      <w:r w:rsidRPr="002A34CE">
        <w:rPr>
          <w:rStyle w:val="EndnoteReference"/>
          <w:sz w:val="22"/>
        </w:rPr>
        <w:endnoteRef/>
      </w:r>
      <w:r w:rsidRPr="002A34CE">
        <w:rPr>
          <w:sz w:val="22"/>
        </w:rPr>
        <w:t xml:space="preserve"> Matthieu 1:24–25.</w:t>
      </w:r>
    </w:p>
  </w:endnote>
  <w:endnote w:id="36">
    <w:p w:rsidR="00BA3F04" w:rsidRPr="002A34CE" w:rsidRDefault="00BA3F04" w:rsidP="00A83016">
      <w:pPr>
        <w:pStyle w:val="EndnoteText"/>
        <w:spacing w:line="360" w:lineRule="auto"/>
        <w:rPr>
          <w:sz w:val="22"/>
        </w:rPr>
      </w:pPr>
      <w:r w:rsidRPr="002A34CE">
        <w:rPr>
          <w:rStyle w:val="EndnoteReference"/>
          <w:sz w:val="22"/>
        </w:rPr>
        <w:endnoteRef/>
      </w:r>
      <w:r w:rsidRPr="002A34CE">
        <w:rPr>
          <w:sz w:val="22"/>
        </w:rPr>
        <w:t xml:space="preserve"> </w:t>
      </w:r>
      <w:r w:rsidR="002119B8" w:rsidRPr="002A34CE">
        <w:rPr>
          <w:sz w:val="22"/>
        </w:rPr>
        <w:t xml:space="preserve">Nous en parlerons davantage </w:t>
      </w:r>
      <w:r w:rsidRPr="002A34CE">
        <w:rPr>
          <w:sz w:val="22"/>
        </w:rPr>
        <w:t>dans la 5ème partie.</w:t>
      </w:r>
    </w:p>
  </w:endnote>
  <w:endnote w:id="37">
    <w:p w:rsidR="00C3283E" w:rsidRPr="002A34CE" w:rsidRDefault="00C3283E" w:rsidP="00A83016">
      <w:pPr>
        <w:pStyle w:val="EndnoteText"/>
        <w:spacing w:line="276" w:lineRule="auto"/>
        <w:rPr>
          <w:sz w:val="22"/>
        </w:rPr>
      </w:pPr>
      <w:r w:rsidRPr="002A34CE">
        <w:rPr>
          <w:rStyle w:val="EndnoteReference"/>
          <w:sz w:val="22"/>
        </w:rPr>
        <w:endnoteRef/>
      </w:r>
      <w:r w:rsidRPr="002A34CE">
        <w:rPr>
          <w:sz w:val="22"/>
        </w:rPr>
        <w:t xml:space="preserve"> Après cela, Jésus descendit à Capernaüm avec sa mère, ses frères et ses disciples ; mais ils n’y restèrent que quelques jours. (Jean 2:12)</w:t>
      </w:r>
    </w:p>
    <w:p w:rsidR="00C3283E" w:rsidRPr="002A34CE" w:rsidRDefault="00C3283E" w:rsidP="00A83016">
      <w:pPr>
        <w:pStyle w:val="EndnoteText"/>
        <w:spacing w:line="276" w:lineRule="auto"/>
        <w:rPr>
          <w:sz w:val="22"/>
        </w:rPr>
      </w:pPr>
      <w:r w:rsidRPr="002A34CE">
        <w:rPr>
          <w:sz w:val="22"/>
        </w:rPr>
        <w:t>La mère et les frères de Jésus vinrent Le trouver ; mais ils ne purent pas L’approcher à cause de la foule. (Luc 8:19)</w:t>
      </w:r>
    </w:p>
    <w:p w:rsidR="00C3283E" w:rsidRPr="002A34CE" w:rsidRDefault="00C3283E" w:rsidP="005E6653">
      <w:pPr>
        <w:pStyle w:val="EndnoteText"/>
        <w:spacing w:line="360" w:lineRule="auto"/>
        <w:rPr>
          <w:sz w:val="22"/>
        </w:rPr>
      </w:pPr>
      <w:r w:rsidRPr="002A34CE">
        <w:rPr>
          <w:sz w:val="22"/>
        </w:rPr>
        <w:t>Pendant que Jésus parlait encore à la foule, voici que sa mère et ses frères se tenaient dehors, cherchant à Lui parler. (Matthieu 12:46)</w:t>
      </w:r>
    </w:p>
  </w:endnote>
  <w:endnote w:id="38">
    <w:p w:rsidR="000318EB" w:rsidRPr="002A34CE" w:rsidRDefault="000318EB" w:rsidP="00A83016">
      <w:pPr>
        <w:pStyle w:val="EndnoteText"/>
        <w:spacing w:line="360" w:lineRule="auto"/>
        <w:rPr>
          <w:sz w:val="22"/>
        </w:rPr>
      </w:pPr>
      <w:r w:rsidRPr="002A34CE">
        <w:rPr>
          <w:rStyle w:val="EndnoteReference"/>
          <w:sz w:val="22"/>
        </w:rPr>
        <w:endnoteRef/>
      </w:r>
      <w:r w:rsidRPr="002A34CE">
        <w:rPr>
          <w:sz w:val="22"/>
        </w:rPr>
        <w:t xml:space="preserve"> Marc 6:3 BFC.</w:t>
      </w:r>
    </w:p>
  </w:endnote>
  <w:endnote w:id="39">
    <w:p w:rsidR="00F7779B" w:rsidRPr="002A34CE" w:rsidRDefault="00F7779B" w:rsidP="00A83016">
      <w:pPr>
        <w:pStyle w:val="EndnoteText"/>
        <w:spacing w:line="360" w:lineRule="auto"/>
        <w:rPr>
          <w:sz w:val="22"/>
        </w:rPr>
      </w:pPr>
      <w:r w:rsidRPr="002A34CE">
        <w:rPr>
          <w:rStyle w:val="EndnoteReference"/>
          <w:sz w:val="22"/>
        </w:rPr>
        <w:endnoteRef/>
      </w:r>
      <w:r w:rsidRPr="002A34CE">
        <w:rPr>
          <w:sz w:val="22"/>
        </w:rPr>
        <w:t xml:space="preserve"> Jean 8:41.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D61" w:rsidRDefault="00297D61" w:rsidP="00F147EF">
      <w:r>
        <w:separator/>
      </w:r>
    </w:p>
  </w:footnote>
  <w:footnote w:type="continuationSeparator" w:id="0">
    <w:p w:rsidR="00297D61" w:rsidRDefault="00297D61" w:rsidP="00F147EF">
      <w:r>
        <w:continuationSeparator/>
      </w:r>
    </w:p>
  </w:footnote>
  <w:footnote w:id="1">
    <w:p w:rsidR="000E31A5" w:rsidRPr="00C3283E" w:rsidRDefault="000E31A5">
      <w:pPr>
        <w:pStyle w:val="FootnoteText"/>
        <w:rPr>
          <w:sz w:val="22"/>
        </w:rPr>
      </w:pPr>
      <w:r w:rsidRPr="00C3283E">
        <w:rPr>
          <w:rStyle w:val="FootnoteReference"/>
          <w:sz w:val="22"/>
        </w:rPr>
        <w:footnoteRef/>
      </w:r>
      <w:r w:rsidRPr="00C3283E">
        <w:rPr>
          <w:sz w:val="22"/>
        </w:rPr>
        <w:t xml:space="preserve"> </w:t>
      </w:r>
      <w:r w:rsidR="001F3335" w:rsidRPr="00C3283E">
        <w:rPr>
          <w:i/>
          <w:sz w:val="22"/>
        </w:rPr>
        <w:t xml:space="preserve">Ndt: </w:t>
      </w:r>
      <w:r w:rsidR="001F3335">
        <w:rPr>
          <w:i/>
          <w:sz w:val="22"/>
        </w:rPr>
        <w:t>"il ne la connut point", versions Martin, Darby, Louis Segond</w:t>
      </w:r>
      <w:r w:rsidR="007946A1">
        <w:rPr>
          <w:i/>
          <w:sz w:val="22"/>
        </w:rPr>
        <w:t xml:space="preserve">, de la </w:t>
      </w:r>
      <w:r w:rsidR="001829E0">
        <w:rPr>
          <w:i/>
          <w:sz w:val="22"/>
        </w:rPr>
        <w:t>Bible.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proofState w:spelling="clean" w:grammar="clean"/>
  <w:revisionView w:markup="0"/>
  <w:defaultTabStop w:val="708"/>
  <w:hyphenationZone w:val="425"/>
  <w:noPunctuationKerning/>
  <w:characterSpacingControl w:val="doNotCompress"/>
  <w:savePreviewPicture/>
  <w:footnotePr>
    <w:numFmt w:val="lowerLetter"/>
    <w:footnote w:id="-1"/>
    <w:footnote w:id="0"/>
  </w:footnotePr>
  <w:endnotePr>
    <w:numFmt w:val="decimal"/>
    <w:endnote w:id="-1"/>
    <w:endnote w:id="0"/>
  </w:endnotePr>
  <w:compat>
    <w:compatSetting w:name="compatibilityMode" w:uri="http://schemas.microsoft.com/office/word" w:val="12"/>
  </w:compat>
  <w:rsids>
    <w:rsidRoot w:val="00801F9F"/>
    <w:rsid w:val="000231C9"/>
    <w:rsid w:val="000318EB"/>
    <w:rsid w:val="00031ECF"/>
    <w:rsid w:val="00062689"/>
    <w:rsid w:val="00074176"/>
    <w:rsid w:val="000745BD"/>
    <w:rsid w:val="00080058"/>
    <w:rsid w:val="00086AA3"/>
    <w:rsid w:val="00090934"/>
    <w:rsid w:val="00095228"/>
    <w:rsid w:val="00097533"/>
    <w:rsid w:val="000A0968"/>
    <w:rsid w:val="000A0DB4"/>
    <w:rsid w:val="000B0534"/>
    <w:rsid w:val="000B1358"/>
    <w:rsid w:val="000B3B03"/>
    <w:rsid w:val="000C2FAB"/>
    <w:rsid w:val="000E31A5"/>
    <w:rsid w:val="000F2FC4"/>
    <w:rsid w:val="000F41C1"/>
    <w:rsid w:val="00101BF3"/>
    <w:rsid w:val="00120F32"/>
    <w:rsid w:val="00147936"/>
    <w:rsid w:val="00147BCE"/>
    <w:rsid w:val="001550A1"/>
    <w:rsid w:val="00155865"/>
    <w:rsid w:val="00170655"/>
    <w:rsid w:val="0018099A"/>
    <w:rsid w:val="001829E0"/>
    <w:rsid w:val="001977A6"/>
    <w:rsid w:val="001B5673"/>
    <w:rsid w:val="001D0309"/>
    <w:rsid w:val="001D3326"/>
    <w:rsid w:val="001D798F"/>
    <w:rsid w:val="001E2A8B"/>
    <w:rsid w:val="001E66D2"/>
    <w:rsid w:val="001E7C9C"/>
    <w:rsid w:val="001F3335"/>
    <w:rsid w:val="001F4B7A"/>
    <w:rsid w:val="00204DCB"/>
    <w:rsid w:val="002110F3"/>
    <w:rsid w:val="002119B8"/>
    <w:rsid w:val="00212B9B"/>
    <w:rsid w:val="002309CD"/>
    <w:rsid w:val="0024581C"/>
    <w:rsid w:val="00250B05"/>
    <w:rsid w:val="002711B3"/>
    <w:rsid w:val="00297D61"/>
    <w:rsid w:val="002A34CE"/>
    <w:rsid w:val="002B42CF"/>
    <w:rsid w:val="002D51DB"/>
    <w:rsid w:val="002D5265"/>
    <w:rsid w:val="00300ED0"/>
    <w:rsid w:val="003133DB"/>
    <w:rsid w:val="003220AA"/>
    <w:rsid w:val="00331BF3"/>
    <w:rsid w:val="00333690"/>
    <w:rsid w:val="0033421E"/>
    <w:rsid w:val="00337947"/>
    <w:rsid w:val="00342139"/>
    <w:rsid w:val="003479A7"/>
    <w:rsid w:val="00352F9A"/>
    <w:rsid w:val="00371C65"/>
    <w:rsid w:val="00373B64"/>
    <w:rsid w:val="003761D4"/>
    <w:rsid w:val="00380DC3"/>
    <w:rsid w:val="00382194"/>
    <w:rsid w:val="00393EAB"/>
    <w:rsid w:val="003A310A"/>
    <w:rsid w:val="003A7FFA"/>
    <w:rsid w:val="003B0693"/>
    <w:rsid w:val="003B4D12"/>
    <w:rsid w:val="003C2E02"/>
    <w:rsid w:val="003E3263"/>
    <w:rsid w:val="003E5BF7"/>
    <w:rsid w:val="00413C4B"/>
    <w:rsid w:val="0041468E"/>
    <w:rsid w:val="00417CE4"/>
    <w:rsid w:val="0042716A"/>
    <w:rsid w:val="004375B2"/>
    <w:rsid w:val="00446EE2"/>
    <w:rsid w:val="00454470"/>
    <w:rsid w:val="00481D41"/>
    <w:rsid w:val="00483CF9"/>
    <w:rsid w:val="00485ED0"/>
    <w:rsid w:val="004971A9"/>
    <w:rsid w:val="004A17B8"/>
    <w:rsid w:val="004A4D30"/>
    <w:rsid w:val="004A51A8"/>
    <w:rsid w:val="004B4D94"/>
    <w:rsid w:val="004B5AC4"/>
    <w:rsid w:val="004D0C9F"/>
    <w:rsid w:val="004F4367"/>
    <w:rsid w:val="0050435E"/>
    <w:rsid w:val="00505F10"/>
    <w:rsid w:val="0051300E"/>
    <w:rsid w:val="005160B0"/>
    <w:rsid w:val="00546115"/>
    <w:rsid w:val="005775AF"/>
    <w:rsid w:val="00577656"/>
    <w:rsid w:val="0058486E"/>
    <w:rsid w:val="005950DC"/>
    <w:rsid w:val="005A4099"/>
    <w:rsid w:val="005A4F42"/>
    <w:rsid w:val="005A559B"/>
    <w:rsid w:val="005A6EA3"/>
    <w:rsid w:val="005B58F7"/>
    <w:rsid w:val="005C0955"/>
    <w:rsid w:val="005C2DCE"/>
    <w:rsid w:val="005D4DA7"/>
    <w:rsid w:val="005D6DED"/>
    <w:rsid w:val="005E6653"/>
    <w:rsid w:val="00603BE8"/>
    <w:rsid w:val="006113D0"/>
    <w:rsid w:val="0061243B"/>
    <w:rsid w:val="00617A95"/>
    <w:rsid w:val="00621B0B"/>
    <w:rsid w:val="00632921"/>
    <w:rsid w:val="00640FD1"/>
    <w:rsid w:val="006416EE"/>
    <w:rsid w:val="00653BCC"/>
    <w:rsid w:val="006573ED"/>
    <w:rsid w:val="00666CDB"/>
    <w:rsid w:val="00673745"/>
    <w:rsid w:val="00677428"/>
    <w:rsid w:val="006A3DE3"/>
    <w:rsid w:val="006B4EF1"/>
    <w:rsid w:val="006B5703"/>
    <w:rsid w:val="006C204F"/>
    <w:rsid w:val="006F38F8"/>
    <w:rsid w:val="00702B2C"/>
    <w:rsid w:val="00706CE8"/>
    <w:rsid w:val="00716C3E"/>
    <w:rsid w:val="00734597"/>
    <w:rsid w:val="00772E3A"/>
    <w:rsid w:val="00773B9A"/>
    <w:rsid w:val="00775A87"/>
    <w:rsid w:val="00776833"/>
    <w:rsid w:val="00793320"/>
    <w:rsid w:val="007946A1"/>
    <w:rsid w:val="007A66BE"/>
    <w:rsid w:val="007A76DC"/>
    <w:rsid w:val="007D1B1D"/>
    <w:rsid w:val="007E2B19"/>
    <w:rsid w:val="007E32CD"/>
    <w:rsid w:val="00801964"/>
    <w:rsid w:val="00801F9F"/>
    <w:rsid w:val="00812A26"/>
    <w:rsid w:val="00820002"/>
    <w:rsid w:val="008204EE"/>
    <w:rsid w:val="00833922"/>
    <w:rsid w:val="00880A38"/>
    <w:rsid w:val="00886331"/>
    <w:rsid w:val="008A08FA"/>
    <w:rsid w:val="008A29D1"/>
    <w:rsid w:val="008A4469"/>
    <w:rsid w:val="008A7A43"/>
    <w:rsid w:val="008C0830"/>
    <w:rsid w:val="008C216A"/>
    <w:rsid w:val="008C49DA"/>
    <w:rsid w:val="008D55EB"/>
    <w:rsid w:val="008F023E"/>
    <w:rsid w:val="008F0F3C"/>
    <w:rsid w:val="00902F9D"/>
    <w:rsid w:val="009107E1"/>
    <w:rsid w:val="0091715D"/>
    <w:rsid w:val="00920A61"/>
    <w:rsid w:val="0092310B"/>
    <w:rsid w:val="00925E15"/>
    <w:rsid w:val="009264E7"/>
    <w:rsid w:val="00926E6E"/>
    <w:rsid w:val="009332D2"/>
    <w:rsid w:val="0093577F"/>
    <w:rsid w:val="00955E00"/>
    <w:rsid w:val="00977B22"/>
    <w:rsid w:val="0099498F"/>
    <w:rsid w:val="009C3382"/>
    <w:rsid w:val="009C406A"/>
    <w:rsid w:val="009D60AE"/>
    <w:rsid w:val="00A15DD1"/>
    <w:rsid w:val="00A165D3"/>
    <w:rsid w:val="00A34260"/>
    <w:rsid w:val="00A35096"/>
    <w:rsid w:val="00A41397"/>
    <w:rsid w:val="00A57A4D"/>
    <w:rsid w:val="00A83016"/>
    <w:rsid w:val="00A84B5E"/>
    <w:rsid w:val="00A9043B"/>
    <w:rsid w:val="00A94742"/>
    <w:rsid w:val="00A973D1"/>
    <w:rsid w:val="00AA1D6C"/>
    <w:rsid w:val="00AA3000"/>
    <w:rsid w:val="00AB1CE8"/>
    <w:rsid w:val="00AE577F"/>
    <w:rsid w:val="00AF4D96"/>
    <w:rsid w:val="00B014D0"/>
    <w:rsid w:val="00B028CB"/>
    <w:rsid w:val="00B051D2"/>
    <w:rsid w:val="00B16DC6"/>
    <w:rsid w:val="00B273CA"/>
    <w:rsid w:val="00B30BA4"/>
    <w:rsid w:val="00B36C80"/>
    <w:rsid w:val="00B376CB"/>
    <w:rsid w:val="00B5385E"/>
    <w:rsid w:val="00B54AE5"/>
    <w:rsid w:val="00B85441"/>
    <w:rsid w:val="00BA1426"/>
    <w:rsid w:val="00BA1546"/>
    <w:rsid w:val="00BA3BE8"/>
    <w:rsid w:val="00BA3F04"/>
    <w:rsid w:val="00BB7FA9"/>
    <w:rsid w:val="00BC5DBF"/>
    <w:rsid w:val="00BD1970"/>
    <w:rsid w:val="00BD2E75"/>
    <w:rsid w:val="00BD3AF2"/>
    <w:rsid w:val="00BD649D"/>
    <w:rsid w:val="00BE3179"/>
    <w:rsid w:val="00BE6D0E"/>
    <w:rsid w:val="00C0134D"/>
    <w:rsid w:val="00C039FE"/>
    <w:rsid w:val="00C0720D"/>
    <w:rsid w:val="00C11BC4"/>
    <w:rsid w:val="00C25FC7"/>
    <w:rsid w:val="00C3283E"/>
    <w:rsid w:val="00C3299C"/>
    <w:rsid w:val="00C3304E"/>
    <w:rsid w:val="00C369A0"/>
    <w:rsid w:val="00C40EA9"/>
    <w:rsid w:val="00C72DFB"/>
    <w:rsid w:val="00C96498"/>
    <w:rsid w:val="00CC4A0C"/>
    <w:rsid w:val="00CD60DB"/>
    <w:rsid w:val="00CD6AF7"/>
    <w:rsid w:val="00CE769B"/>
    <w:rsid w:val="00CF4FEE"/>
    <w:rsid w:val="00D06EDA"/>
    <w:rsid w:val="00D13B65"/>
    <w:rsid w:val="00D235A8"/>
    <w:rsid w:val="00D24392"/>
    <w:rsid w:val="00D24DEE"/>
    <w:rsid w:val="00D30408"/>
    <w:rsid w:val="00D321CB"/>
    <w:rsid w:val="00D34B27"/>
    <w:rsid w:val="00D41943"/>
    <w:rsid w:val="00D41DD5"/>
    <w:rsid w:val="00D4567C"/>
    <w:rsid w:val="00D46D00"/>
    <w:rsid w:val="00D565BE"/>
    <w:rsid w:val="00D66749"/>
    <w:rsid w:val="00D91831"/>
    <w:rsid w:val="00D94260"/>
    <w:rsid w:val="00DC64C1"/>
    <w:rsid w:val="00DC6ED3"/>
    <w:rsid w:val="00E06A3F"/>
    <w:rsid w:val="00E25E33"/>
    <w:rsid w:val="00E46ECB"/>
    <w:rsid w:val="00E52D5F"/>
    <w:rsid w:val="00E81745"/>
    <w:rsid w:val="00E9735C"/>
    <w:rsid w:val="00EA4FB1"/>
    <w:rsid w:val="00EA7DBE"/>
    <w:rsid w:val="00EC7F05"/>
    <w:rsid w:val="00ED3D0A"/>
    <w:rsid w:val="00EE3E62"/>
    <w:rsid w:val="00EE4497"/>
    <w:rsid w:val="00F1207C"/>
    <w:rsid w:val="00F147EF"/>
    <w:rsid w:val="00F25956"/>
    <w:rsid w:val="00F373C0"/>
    <w:rsid w:val="00F51E7B"/>
    <w:rsid w:val="00F52601"/>
    <w:rsid w:val="00F60357"/>
    <w:rsid w:val="00F62B16"/>
    <w:rsid w:val="00F714AD"/>
    <w:rsid w:val="00F72D69"/>
    <w:rsid w:val="00F75AA3"/>
    <w:rsid w:val="00F7779B"/>
    <w:rsid w:val="00F83B37"/>
    <w:rsid w:val="00F9201F"/>
    <w:rsid w:val="00F95174"/>
    <w:rsid w:val="00F960EE"/>
    <w:rsid w:val="00FA52FC"/>
    <w:rsid w:val="00FC2989"/>
    <w:rsid w:val="00FD32D8"/>
    <w:rsid w:val="00FD3A64"/>
    <w:rsid w:val="00FE0404"/>
    <w:rsid w:val="00FE339B"/>
    <w:rsid w:val="00FE4725"/>
    <w:rsid w:val="00FF1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unhideWhenUsed/>
    <w:pPr>
      <w:spacing w:before="100" w:beforeAutospacing="1" w:after="100" w:afterAutospacing="1"/>
    </w:pPr>
  </w:style>
  <w:style w:type="paragraph" w:customStyle="1" w:styleId="p1">
    <w:name w:val="p1"/>
    <w:basedOn w:val="Normal"/>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paragraph" w:customStyle="1" w:styleId="indent">
    <w:name w:val="indent"/>
    <w:basedOn w:val="Normal"/>
    <w:pPr>
      <w:spacing w:before="100" w:beforeAutospacing="1" w:after="100" w:afterAutospacing="1"/>
    </w:pPr>
  </w:style>
  <w:style w:type="character" w:styleId="Emphasis">
    <w:name w:val="Emphasis"/>
    <w:uiPriority w:val="20"/>
    <w:qFormat/>
    <w:rPr>
      <w:i/>
      <w:iCs/>
    </w:rPr>
  </w:style>
  <w:style w:type="character" w:styleId="Strong">
    <w:name w:val="Strong"/>
    <w:uiPriority w:val="22"/>
    <w:qFormat/>
    <w:rPr>
      <w:b/>
      <w:bCs/>
    </w:rPr>
  </w:style>
  <w:style w:type="paragraph" w:styleId="FootnoteText">
    <w:name w:val="footnote text"/>
    <w:basedOn w:val="Normal"/>
    <w:link w:val="FootnoteTextChar"/>
    <w:uiPriority w:val="99"/>
    <w:semiHidden/>
    <w:unhideWhenUsed/>
    <w:rsid w:val="00F147EF"/>
    <w:rPr>
      <w:sz w:val="20"/>
      <w:szCs w:val="20"/>
    </w:rPr>
  </w:style>
  <w:style w:type="character" w:customStyle="1" w:styleId="FootnoteTextChar">
    <w:name w:val="Footnote Text Char"/>
    <w:link w:val="FootnoteText"/>
    <w:uiPriority w:val="99"/>
    <w:semiHidden/>
    <w:rsid w:val="00F147EF"/>
    <w:rPr>
      <w:rFonts w:eastAsia="Times New Roman"/>
    </w:rPr>
  </w:style>
  <w:style w:type="character" w:styleId="FootnoteReference">
    <w:name w:val="footnote reference"/>
    <w:uiPriority w:val="99"/>
    <w:semiHidden/>
    <w:unhideWhenUsed/>
    <w:rsid w:val="00F147EF"/>
    <w:rPr>
      <w:vertAlign w:val="superscript"/>
    </w:rPr>
  </w:style>
  <w:style w:type="paragraph" w:styleId="EndnoteText">
    <w:name w:val="endnote text"/>
    <w:basedOn w:val="Normal"/>
    <w:link w:val="EndnoteTextChar"/>
    <w:uiPriority w:val="99"/>
    <w:semiHidden/>
    <w:unhideWhenUsed/>
    <w:rsid w:val="00F147EF"/>
    <w:rPr>
      <w:sz w:val="20"/>
      <w:szCs w:val="20"/>
    </w:rPr>
  </w:style>
  <w:style w:type="character" w:customStyle="1" w:styleId="EndnoteTextChar">
    <w:name w:val="Endnote Text Char"/>
    <w:link w:val="EndnoteText"/>
    <w:uiPriority w:val="99"/>
    <w:semiHidden/>
    <w:rsid w:val="00F147EF"/>
    <w:rPr>
      <w:rFonts w:eastAsia="Times New Roman"/>
    </w:rPr>
  </w:style>
  <w:style w:type="character" w:styleId="EndnoteReference">
    <w:name w:val="endnote reference"/>
    <w:uiPriority w:val="99"/>
    <w:semiHidden/>
    <w:unhideWhenUsed/>
    <w:rsid w:val="00F147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11047">
      <w:marLeft w:val="0"/>
      <w:marRight w:val="0"/>
      <w:marTop w:val="0"/>
      <w:marBottom w:val="0"/>
      <w:divBdr>
        <w:top w:val="none" w:sz="0" w:space="0" w:color="auto"/>
        <w:left w:val="none" w:sz="0" w:space="0" w:color="auto"/>
        <w:bottom w:val="none" w:sz="0" w:space="0" w:color="auto"/>
        <w:right w:val="none" w:sz="0" w:space="0" w:color="auto"/>
      </w:divBdr>
    </w:div>
    <w:div w:id="344139848">
      <w:marLeft w:val="0"/>
      <w:marRight w:val="0"/>
      <w:marTop w:val="0"/>
      <w:marBottom w:val="0"/>
      <w:divBdr>
        <w:top w:val="none" w:sz="0" w:space="0" w:color="auto"/>
        <w:left w:val="none" w:sz="0" w:space="0" w:color="auto"/>
        <w:bottom w:val="none" w:sz="0" w:space="0" w:color="auto"/>
        <w:right w:val="none" w:sz="0" w:space="0" w:color="auto"/>
      </w:divBdr>
    </w:div>
    <w:div w:id="497185783">
      <w:marLeft w:val="0"/>
      <w:marRight w:val="0"/>
      <w:marTop w:val="0"/>
      <w:marBottom w:val="0"/>
      <w:divBdr>
        <w:top w:val="none" w:sz="0" w:space="0" w:color="auto"/>
        <w:left w:val="none" w:sz="0" w:space="0" w:color="auto"/>
        <w:bottom w:val="none" w:sz="0" w:space="0" w:color="auto"/>
        <w:right w:val="none" w:sz="0" w:space="0" w:color="auto"/>
      </w:divBdr>
    </w:div>
    <w:div w:id="517693552">
      <w:marLeft w:val="0"/>
      <w:marRight w:val="0"/>
      <w:marTop w:val="0"/>
      <w:marBottom w:val="0"/>
      <w:divBdr>
        <w:top w:val="none" w:sz="0" w:space="0" w:color="auto"/>
        <w:left w:val="none" w:sz="0" w:space="0" w:color="auto"/>
        <w:bottom w:val="none" w:sz="0" w:space="0" w:color="auto"/>
        <w:right w:val="none" w:sz="0" w:space="0" w:color="auto"/>
      </w:divBdr>
    </w:div>
    <w:div w:id="522130279">
      <w:marLeft w:val="0"/>
      <w:marRight w:val="0"/>
      <w:marTop w:val="0"/>
      <w:marBottom w:val="0"/>
      <w:divBdr>
        <w:top w:val="none" w:sz="0" w:space="0" w:color="auto"/>
        <w:left w:val="none" w:sz="0" w:space="0" w:color="auto"/>
        <w:bottom w:val="none" w:sz="0" w:space="0" w:color="auto"/>
        <w:right w:val="none" w:sz="0" w:space="0" w:color="auto"/>
      </w:divBdr>
    </w:div>
    <w:div w:id="562372905">
      <w:marLeft w:val="0"/>
      <w:marRight w:val="0"/>
      <w:marTop w:val="0"/>
      <w:marBottom w:val="0"/>
      <w:divBdr>
        <w:top w:val="none" w:sz="0" w:space="0" w:color="auto"/>
        <w:left w:val="none" w:sz="0" w:space="0" w:color="auto"/>
        <w:bottom w:val="none" w:sz="0" w:space="0" w:color="auto"/>
        <w:right w:val="none" w:sz="0" w:space="0" w:color="auto"/>
      </w:divBdr>
    </w:div>
    <w:div w:id="573785772">
      <w:marLeft w:val="0"/>
      <w:marRight w:val="0"/>
      <w:marTop w:val="0"/>
      <w:marBottom w:val="0"/>
      <w:divBdr>
        <w:top w:val="none" w:sz="0" w:space="0" w:color="auto"/>
        <w:left w:val="none" w:sz="0" w:space="0" w:color="auto"/>
        <w:bottom w:val="none" w:sz="0" w:space="0" w:color="auto"/>
        <w:right w:val="none" w:sz="0" w:space="0" w:color="auto"/>
      </w:divBdr>
    </w:div>
    <w:div w:id="644553305">
      <w:marLeft w:val="0"/>
      <w:marRight w:val="0"/>
      <w:marTop w:val="0"/>
      <w:marBottom w:val="0"/>
      <w:divBdr>
        <w:top w:val="none" w:sz="0" w:space="0" w:color="auto"/>
        <w:left w:val="none" w:sz="0" w:space="0" w:color="auto"/>
        <w:bottom w:val="none" w:sz="0" w:space="0" w:color="auto"/>
        <w:right w:val="none" w:sz="0" w:space="0" w:color="auto"/>
      </w:divBdr>
    </w:div>
    <w:div w:id="722606117">
      <w:marLeft w:val="0"/>
      <w:marRight w:val="0"/>
      <w:marTop w:val="0"/>
      <w:marBottom w:val="0"/>
      <w:divBdr>
        <w:top w:val="none" w:sz="0" w:space="0" w:color="auto"/>
        <w:left w:val="none" w:sz="0" w:space="0" w:color="auto"/>
        <w:bottom w:val="none" w:sz="0" w:space="0" w:color="auto"/>
        <w:right w:val="none" w:sz="0" w:space="0" w:color="auto"/>
      </w:divBdr>
    </w:div>
    <w:div w:id="747075310">
      <w:marLeft w:val="0"/>
      <w:marRight w:val="0"/>
      <w:marTop w:val="0"/>
      <w:marBottom w:val="0"/>
      <w:divBdr>
        <w:top w:val="none" w:sz="0" w:space="0" w:color="auto"/>
        <w:left w:val="none" w:sz="0" w:space="0" w:color="auto"/>
        <w:bottom w:val="none" w:sz="0" w:space="0" w:color="auto"/>
        <w:right w:val="none" w:sz="0" w:space="0" w:color="auto"/>
      </w:divBdr>
    </w:div>
    <w:div w:id="824929638">
      <w:marLeft w:val="0"/>
      <w:marRight w:val="0"/>
      <w:marTop w:val="0"/>
      <w:marBottom w:val="0"/>
      <w:divBdr>
        <w:top w:val="none" w:sz="0" w:space="0" w:color="auto"/>
        <w:left w:val="none" w:sz="0" w:space="0" w:color="auto"/>
        <w:bottom w:val="none" w:sz="0" w:space="0" w:color="auto"/>
        <w:right w:val="none" w:sz="0" w:space="0" w:color="auto"/>
      </w:divBdr>
    </w:div>
    <w:div w:id="827092842">
      <w:marLeft w:val="0"/>
      <w:marRight w:val="0"/>
      <w:marTop w:val="0"/>
      <w:marBottom w:val="0"/>
      <w:divBdr>
        <w:top w:val="none" w:sz="0" w:space="0" w:color="auto"/>
        <w:left w:val="none" w:sz="0" w:space="0" w:color="auto"/>
        <w:bottom w:val="none" w:sz="0" w:space="0" w:color="auto"/>
        <w:right w:val="none" w:sz="0" w:space="0" w:color="auto"/>
      </w:divBdr>
    </w:div>
    <w:div w:id="856692650">
      <w:marLeft w:val="0"/>
      <w:marRight w:val="0"/>
      <w:marTop w:val="0"/>
      <w:marBottom w:val="0"/>
      <w:divBdr>
        <w:top w:val="none" w:sz="0" w:space="0" w:color="auto"/>
        <w:left w:val="none" w:sz="0" w:space="0" w:color="auto"/>
        <w:bottom w:val="none" w:sz="0" w:space="0" w:color="auto"/>
        <w:right w:val="none" w:sz="0" w:space="0" w:color="auto"/>
      </w:divBdr>
    </w:div>
    <w:div w:id="939721282">
      <w:marLeft w:val="0"/>
      <w:marRight w:val="0"/>
      <w:marTop w:val="0"/>
      <w:marBottom w:val="0"/>
      <w:divBdr>
        <w:top w:val="none" w:sz="0" w:space="0" w:color="auto"/>
        <w:left w:val="none" w:sz="0" w:space="0" w:color="auto"/>
        <w:bottom w:val="none" w:sz="0" w:space="0" w:color="auto"/>
        <w:right w:val="none" w:sz="0" w:space="0" w:color="auto"/>
      </w:divBdr>
    </w:div>
    <w:div w:id="1081290938">
      <w:marLeft w:val="0"/>
      <w:marRight w:val="0"/>
      <w:marTop w:val="0"/>
      <w:marBottom w:val="0"/>
      <w:divBdr>
        <w:top w:val="none" w:sz="0" w:space="0" w:color="auto"/>
        <w:left w:val="none" w:sz="0" w:space="0" w:color="auto"/>
        <w:bottom w:val="none" w:sz="0" w:space="0" w:color="auto"/>
        <w:right w:val="none" w:sz="0" w:space="0" w:color="auto"/>
      </w:divBdr>
    </w:div>
    <w:div w:id="1082606999">
      <w:marLeft w:val="0"/>
      <w:marRight w:val="0"/>
      <w:marTop w:val="0"/>
      <w:marBottom w:val="0"/>
      <w:divBdr>
        <w:top w:val="none" w:sz="0" w:space="0" w:color="auto"/>
        <w:left w:val="none" w:sz="0" w:space="0" w:color="auto"/>
        <w:bottom w:val="none" w:sz="0" w:space="0" w:color="auto"/>
        <w:right w:val="none" w:sz="0" w:space="0" w:color="auto"/>
      </w:divBdr>
    </w:div>
    <w:div w:id="1104421699">
      <w:marLeft w:val="0"/>
      <w:marRight w:val="0"/>
      <w:marTop w:val="0"/>
      <w:marBottom w:val="0"/>
      <w:divBdr>
        <w:top w:val="none" w:sz="0" w:space="0" w:color="auto"/>
        <w:left w:val="none" w:sz="0" w:space="0" w:color="auto"/>
        <w:bottom w:val="none" w:sz="0" w:space="0" w:color="auto"/>
        <w:right w:val="none" w:sz="0" w:space="0" w:color="auto"/>
      </w:divBdr>
    </w:div>
    <w:div w:id="1110592709">
      <w:marLeft w:val="0"/>
      <w:marRight w:val="0"/>
      <w:marTop w:val="0"/>
      <w:marBottom w:val="0"/>
      <w:divBdr>
        <w:top w:val="none" w:sz="0" w:space="0" w:color="auto"/>
        <w:left w:val="none" w:sz="0" w:space="0" w:color="auto"/>
        <w:bottom w:val="none" w:sz="0" w:space="0" w:color="auto"/>
        <w:right w:val="none" w:sz="0" w:space="0" w:color="auto"/>
      </w:divBdr>
    </w:div>
    <w:div w:id="1132560044">
      <w:marLeft w:val="0"/>
      <w:marRight w:val="0"/>
      <w:marTop w:val="0"/>
      <w:marBottom w:val="0"/>
      <w:divBdr>
        <w:top w:val="none" w:sz="0" w:space="0" w:color="auto"/>
        <w:left w:val="none" w:sz="0" w:space="0" w:color="auto"/>
        <w:bottom w:val="none" w:sz="0" w:space="0" w:color="auto"/>
        <w:right w:val="none" w:sz="0" w:space="0" w:color="auto"/>
      </w:divBdr>
    </w:div>
    <w:div w:id="1162156018">
      <w:marLeft w:val="0"/>
      <w:marRight w:val="0"/>
      <w:marTop w:val="0"/>
      <w:marBottom w:val="0"/>
      <w:divBdr>
        <w:top w:val="none" w:sz="0" w:space="0" w:color="auto"/>
        <w:left w:val="none" w:sz="0" w:space="0" w:color="auto"/>
        <w:bottom w:val="none" w:sz="0" w:space="0" w:color="auto"/>
        <w:right w:val="none" w:sz="0" w:space="0" w:color="auto"/>
      </w:divBdr>
    </w:div>
    <w:div w:id="1184712078">
      <w:marLeft w:val="0"/>
      <w:marRight w:val="0"/>
      <w:marTop w:val="0"/>
      <w:marBottom w:val="0"/>
      <w:divBdr>
        <w:top w:val="none" w:sz="0" w:space="0" w:color="auto"/>
        <w:left w:val="none" w:sz="0" w:space="0" w:color="auto"/>
        <w:bottom w:val="none" w:sz="0" w:space="0" w:color="auto"/>
        <w:right w:val="none" w:sz="0" w:space="0" w:color="auto"/>
      </w:divBdr>
    </w:div>
    <w:div w:id="1306010328">
      <w:marLeft w:val="0"/>
      <w:marRight w:val="0"/>
      <w:marTop w:val="0"/>
      <w:marBottom w:val="0"/>
      <w:divBdr>
        <w:top w:val="none" w:sz="0" w:space="0" w:color="auto"/>
        <w:left w:val="none" w:sz="0" w:space="0" w:color="auto"/>
        <w:bottom w:val="none" w:sz="0" w:space="0" w:color="auto"/>
        <w:right w:val="none" w:sz="0" w:space="0" w:color="auto"/>
      </w:divBdr>
    </w:div>
    <w:div w:id="1355686756">
      <w:marLeft w:val="0"/>
      <w:marRight w:val="0"/>
      <w:marTop w:val="0"/>
      <w:marBottom w:val="0"/>
      <w:divBdr>
        <w:top w:val="none" w:sz="0" w:space="0" w:color="auto"/>
        <w:left w:val="none" w:sz="0" w:space="0" w:color="auto"/>
        <w:bottom w:val="none" w:sz="0" w:space="0" w:color="auto"/>
        <w:right w:val="none" w:sz="0" w:space="0" w:color="auto"/>
      </w:divBdr>
    </w:div>
    <w:div w:id="1390570765">
      <w:marLeft w:val="0"/>
      <w:marRight w:val="0"/>
      <w:marTop w:val="0"/>
      <w:marBottom w:val="0"/>
      <w:divBdr>
        <w:top w:val="none" w:sz="0" w:space="0" w:color="auto"/>
        <w:left w:val="none" w:sz="0" w:space="0" w:color="auto"/>
        <w:bottom w:val="none" w:sz="0" w:space="0" w:color="auto"/>
        <w:right w:val="none" w:sz="0" w:space="0" w:color="auto"/>
      </w:divBdr>
    </w:div>
    <w:div w:id="1402219340">
      <w:marLeft w:val="0"/>
      <w:marRight w:val="0"/>
      <w:marTop w:val="0"/>
      <w:marBottom w:val="0"/>
      <w:divBdr>
        <w:top w:val="none" w:sz="0" w:space="0" w:color="auto"/>
        <w:left w:val="none" w:sz="0" w:space="0" w:color="auto"/>
        <w:bottom w:val="none" w:sz="0" w:space="0" w:color="auto"/>
        <w:right w:val="none" w:sz="0" w:space="0" w:color="auto"/>
      </w:divBdr>
    </w:div>
    <w:div w:id="1447389703">
      <w:marLeft w:val="0"/>
      <w:marRight w:val="0"/>
      <w:marTop w:val="0"/>
      <w:marBottom w:val="0"/>
      <w:divBdr>
        <w:top w:val="none" w:sz="0" w:space="0" w:color="auto"/>
        <w:left w:val="none" w:sz="0" w:space="0" w:color="auto"/>
        <w:bottom w:val="none" w:sz="0" w:space="0" w:color="auto"/>
        <w:right w:val="none" w:sz="0" w:space="0" w:color="auto"/>
      </w:divBdr>
    </w:div>
    <w:div w:id="1503163374">
      <w:marLeft w:val="0"/>
      <w:marRight w:val="0"/>
      <w:marTop w:val="0"/>
      <w:marBottom w:val="0"/>
      <w:divBdr>
        <w:top w:val="none" w:sz="0" w:space="0" w:color="auto"/>
        <w:left w:val="none" w:sz="0" w:space="0" w:color="auto"/>
        <w:bottom w:val="none" w:sz="0" w:space="0" w:color="auto"/>
        <w:right w:val="none" w:sz="0" w:space="0" w:color="auto"/>
      </w:divBdr>
    </w:div>
    <w:div w:id="1565799640">
      <w:marLeft w:val="0"/>
      <w:marRight w:val="0"/>
      <w:marTop w:val="0"/>
      <w:marBottom w:val="0"/>
      <w:divBdr>
        <w:top w:val="none" w:sz="0" w:space="0" w:color="auto"/>
        <w:left w:val="none" w:sz="0" w:space="0" w:color="auto"/>
        <w:bottom w:val="none" w:sz="0" w:space="0" w:color="auto"/>
        <w:right w:val="none" w:sz="0" w:space="0" w:color="auto"/>
      </w:divBdr>
    </w:div>
    <w:div w:id="1655404902">
      <w:marLeft w:val="0"/>
      <w:marRight w:val="0"/>
      <w:marTop w:val="0"/>
      <w:marBottom w:val="0"/>
      <w:divBdr>
        <w:top w:val="none" w:sz="0" w:space="0" w:color="auto"/>
        <w:left w:val="none" w:sz="0" w:space="0" w:color="auto"/>
        <w:bottom w:val="none" w:sz="0" w:space="0" w:color="auto"/>
        <w:right w:val="none" w:sz="0" w:space="0" w:color="auto"/>
      </w:divBdr>
    </w:div>
    <w:div w:id="1752775873">
      <w:marLeft w:val="0"/>
      <w:marRight w:val="0"/>
      <w:marTop w:val="0"/>
      <w:marBottom w:val="0"/>
      <w:divBdr>
        <w:top w:val="none" w:sz="0" w:space="0" w:color="auto"/>
        <w:left w:val="none" w:sz="0" w:space="0" w:color="auto"/>
        <w:bottom w:val="none" w:sz="0" w:space="0" w:color="auto"/>
        <w:right w:val="none" w:sz="0" w:space="0" w:color="auto"/>
      </w:divBdr>
    </w:div>
    <w:div w:id="1794640596">
      <w:marLeft w:val="0"/>
      <w:marRight w:val="0"/>
      <w:marTop w:val="0"/>
      <w:marBottom w:val="0"/>
      <w:divBdr>
        <w:top w:val="none" w:sz="0" w:space="0" w:color="auto"/>
        <w:left w:val="none" w:sz="0" w:space="0" w:color="auto"/>
        <w:bottom w:val="none" w:sz="0" w:space="0" w:color="auto"/>
        <w:right w:val="none" w:sz="0" w:space="0" w:color="auto"/>
      </w:divBdr>
    </w:div>
    <w:div w:id="1802111481">
      <w:marLeft w:val="0"/>
      <w:marRight w:val="0"/>
      <w:marTop w:val="0"/>
      <w:marBottom w:val="0"/>
      <w:divBdr>
        <w:top w:val="none" w:sz="0" w:space="0" w:color="auto"/>
        <w:left w:val="none" w:sz="0" w:space="0" w:color="auto"/>
        <w:bottom w:val="none" w:sz="0" w:space="0" w:color="auto"/>
        <w:right w:val="none" w:sz="0" w:space="0" w:color="auto"/>
      </w:divBdr>
    </w:div>
    <w:div w:id="1854302783">
      <w:marLeft w:val="0"/>
      <w:marRight w:val="0"/>
      <w:marTop w:val="0"/>
      <w:marBottom w:val="0"/>
      <w:divBdr>
        <w:top w:val="none" w:sz="0" w:space="0" w:color="auto"/>
        <w:left w:val="none" w:sz="0" w:space="0" w:color="auto"/>
        <w:bottom w:val="none" w:sz="0" w:space="0" w:color="auto"/>
        <w:right w:val="none" w:sz="0" w:space="0" w:color="auto"/>
      </w:divBdr>
    </w:div>
    <w:div w:id="1858157613">
      <w:marLeft w:val="0"/>
      <w:marRight w:val="0"/>
      <w:marTop w:val="0"/>
      <w:marBottom w:val="0"/>
      <w:divBdr>
        <w:top w:val="none" w:sz="0" w:space="0" w:color="auto"/>
        <w:left w:val="none" w:sz="0" w:space="0" w:color="auto"/>
        <w:bottom w:val="none" w:sz="0" w:space="0" w:color="auto"/>
        <w:right w:val="none" w:sz="0" w:space="0" w:color="auto"/>
      </w:divBdr>
    </w:div>
    <w:div w:id="1874684539">
      <w:marLeft w:val="0"/>
      <w:marRight w:val="0"/>
      <w:marTop w:val="0"/>
      <w:marBottom w:val="0"/>
      <w:divBdr>
        <w:top w:val="none" w:sz="0" w:space="0" w:color="auto"/>
        <w:left w:val="none" w:sz="0" w:space="0" w:color="auto"/>
        <w:bottom w:val="none" w:sz="0" w:space="0" w:color="auto"/>
        <w:right w:val="none" w:sz="0" w:space="0" w:color="auto"/>
      </w:divBdr>
    </w:div>
    <w:div w:id="1933539257">
      <w:marLeft w:val="0"/>
      <w:marRight w:val="0"/>
      <w:marTop w:val="0"/>
      <w:marBottom w:val="0"/>
      <w:divBdr>
        <w:top w:val="none" w:sz="0" w:space="0" w:color="auto"/>
        <w:left w:val="none" w:sz="0" w:space="0" w:color="auto"/>
        <w:bottom w:val="none" w:sz="0" w:space="0" w:color="auto"/>
        <w:right w:val="none" w:sz="0" w:space="0" w:color="auto"/>
      </w:divBdr>
    </w:div>
    <w:div w:id="1973559119">
      <w:marLeft w:val="0"/>
      <w:marRight w:val="0"/>
      <w:marTop w:val="0"/>
      <w:marBottom w:val="0"/>
      <w:divBdr>
        <w:top w:val="none" w:sz="0" w:space="0" w:color="auto"/>
        <w:left w:val="none" w:sz="0" w:space="0" w:color="auto"/>
        <w:bottom w:val="none" w:sz="0" w:space="0" w:color="auto"/>
        <w:right w:val="none" w:sz="0" w:space="0" w:color="auto"/>
      </w:divBdr>
    </w:div>
    <w:div w:id="213740422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3FD63-8484-420E-9660-4700979BE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3468</Words>
  <Characters>19076</Characters>
  <Application>Microsoft Office Word</Application>
  <DocSecurity>0</DocSecurity>
  <Lines>158</Lines>
  <Paragraphs>44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Jesus—His Life and Message: Jesus’ Birth (Part 1)</vt:lpstr>
      <vt:lpstr>Jésus—sa vie et son message: La naissance de Jésus (1ère partie)</vt:lpstr>
    </vt:vector>
  </TitlesOfParts>
  <Company/>
  <LinksUpToDate>false</LinksUpToDate>
  <CharactersWithSpaces>22500</CharactersWithSpaces>
  <SharedDoc>false</SharedDoc>
  <HLinks>
    <vt:vector size="6" baseType="variant">
      <vt:variant>
        <vt:i4>3145842</vt:i4>
      </vt:variant>
      <vt:variant>
        <vt:i4>0</vt:i4>
      </vt:variant>
      <vt:variant>
        <vt:i4>0</vt:i4>
      </vt:variant>
      <vt:variant>
        <vt:i4>5</vt:i4>
      </vt:variant>
      <vt:variant>
        <vt:lpwstr>http://directors.tfionline.com/post/jesushis-life-and-message-introduction/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Jesus—His Life and Message: Jesus’ Birth (Part 1)</dc:title>
  <dc:creator>Bruno</dc:creator>
  <cp:lastModifiedBy>Bruno</cp:lastModifiedBy>
  <cp:revision>2</cp:revision>
  <dcterms:created xsi:type="dcterms:W3CDTF">2015-01-10T08:44:00Z</dcterms:created>
  <dcterms:modified xsi:type="dcterms:W3CDTF">2015-01-10T08:44:00Z</dcterms:modified>
</cp:coreProperties>
</file>