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2" w:rsidRPr="005520FB" w:rsidRDefault="00BF3A7E">
      <w:pPr>
        <w:pStyle w:val="Heading1"/>
        <w:rPr>
          <w:rFonts w:ascii="Times New Roman" w:hAnsi="Times New Roman"/>
          <w:color w:val="auto"/>
          <w:sz w:val="48"/>
        </w:rPr>
      </w:pPr>
      <w:r w:rsidRPr="005520FB">
        <w:rPr>
          <w:rFonts w:ascii="Times New Roman" w:hAnsi="Times New Roman"/>
          <w:color w:val="auto"/>
          <w:sz w:val="48"/>
        </w:rPr>
        <w:t>J</w:t>
      </w:r>
      <w:r w:rsidR="004C405E" w:rsidRPr="005520FB">
        <w:rPr>
          <w:rFonts w:ascii="Times New Roman" w:hAnsi="Times New Roman"/>
          <w:color w:val="auto"/>
          <w:sz w:val="48"/>
        </w:rPr>
        <w:t>é</w:t>
      </w:r>
      <w:r w:rsidRPr="005520FB">
        <w:rPr>
          <w:rFonts w:ascii="Times New Roman" w:hAnsi="Times New Roman"/>
          <w:color w:val="auto"/>
          <w:sz w:val="48"/>
        </w:rPr>
        <w:t>sus—s</w:t>
      </w:r>
      <w:r w:rsidR="004C405E" w:rsidRPr="005520FB">
        <w:rPr>
          <w:rFonts w:ascii="Times New Roman" w:hAnsi="Times New Roman"/>
          <w:color w:val="auto"/>
          <w:sz w:val="48"/>
        </w:rPr>
        <w:t>a</w:t>
      </w:r>
      <w:r w:rsidRPr="005520FB">
        <w:rPr>
          <w:rFonts w:ascii="Times New Roman" w:hAnsi="Times New Roman"/>
          <w:color w:val="auto"/>
          <w:sz w:val="48"/>
        </w:rPr>
        <w:t xml:space="preserve"> </w:t>
      </w:r>
      <w:r w:rsidR="004C405E" w:rsidRPr="005520FB">
        <w:rPr>
          <w:rFonts w:ascii="Times New Roman" w:hAnsi="Times New Roman"/>
          <w:color w:val="auto"/>
          <w:sz w:val="48"/>
        </w:rPr>
        <w:t>v</w:t>
      </w:r>
      <w:r w:rsidRPr="005520FB">
        <w:rPr>
          <w:rFonts w:ascii="Times New Roman" w:hAnsi="Times New Roman"/>
          <w:color w:val="auto"/>
          <w:sz w:val="48"/>
        </w:rPr>
        <w:t xml:space="preserve">ie </w:t>
      </w:r>
      <w:r w:rsidR="004C405E" w:rsidRPr="005520FB">
        <w:rPr>
          <w:rFonts w:ascii="Times New Roman" w:hAnsi="Times New Roman"/>
          <w:color w:val="auto"/>
          <w:sz w:val="48"/>
        </w:rPr>
        <w:t>et son</w:t>
      </w:r>
      <w:r w:rsidRPr="005520FB">
        <w:rPr>
          <w:rFonts w:ascii="Times New Roman" w:hAnsi="Times New Roman"/>
          <w:color w:val="auto"/>
          <w:sz w:val="48"/>
        </w:rPr>
        <w:t xml:space="preserve"> </w:t>
      </w:r>
      <w:r w:rsidR="004C405E" w:rsidRPr="005520FB">
        <w:rPr>
          <w:rFonts w:ascii="Times New Roman" w:hAnsi="Times New Roman"/>
          <w:color w:val="auto"/>
          <w:sz w:val="48"/>
        </w:rPr>
        <w:t>m</w:t>
      </w:r>
      <w:r w:rsidRPr="005520FB">
        <w:rPr>
          <w:rFonts w:ascii="Times New Roman" w:hAnsi="Times New Roman"/>
          <w:color w:val="auto"/>
          <w:sz w:val="48"/>
        </w:rPr>
        <w:t xml:space="preserve">essage: </w:t>
      </w:r>
      <w:r w:rsidR="004C405E" w:rsidRPr="005520FB">
        <w:rPr>
          <w:rFonts w:ascii="Times New Roman" w:hAnsi="Times New Roman"/>
          <w:color w:val="auto"/>
          <w:sz w:val="48"/>
        </w:rPr>
        <w:t xml:space="preserve">la naissance de </w:t>
      </w:r>
      <w:r w:rsidRPr="005520FB">
        <w:rPr>
          <w:rFonts w:ascii="Times New Roman" w:hAnsi="Times New Roman"/>
          <w:color w:val="auto"/>
          <w:sz w:val="48"/>
        </w:rPr>
        <w:t>J</w:t>
      </w:r>
      <w:r w:rsidR="004C405E" w:rsidRPr="005520FB">
        <w:rPr>
          <w:rFonts w:ascii="Times New Roman" w:hAnsi="Times New Roman"/>
          <w:color w:val="auto"/>
          <w:sz w:val="48"/>
        </w:rPr>
        <w:t>é</w:t>
      </w:r>
      <w:r w:rsidRPr="005520FB">
        <w:rPr>
          <w:rFonts w:ascii="Times New Roman" w:hAnsi="Times New Roman"/>
          <w:color w:val="auto"/>
          <w:sz w:val="48"/>
        </w:rPr>
        <w:t>sus (</w:t>
      </w:r>
      <w:r w:rsidR="004C405E" w:rsidRPr="005520FB">
        <w:rPr>
          <w:rFonts w:ascii="Times New Roman" w:hAnsi="Times New Roman"/>
          <w:color w:val="auto"/>
          <w:sz w:val="48"/>
        </w:rPr>
        <w:t>2</w:t>
      </w:r>
      <w:r w:rsidR="004C405E" w:rsidRPr="005520FB">
        <w:rPr>
          <w:rFonts w:ascii="Times New Roman" w:hAnsi="Times New Roman"/>
          <w:color w:val="auto"/>
          <w:sz w:val="48"/>
          <w:vertAlign w:val="superscript"/>
        </w:rPr>
        <w:t>ème</w:t>
      </w:r>
      <w:r w:rsidR="004C405E" w:rsidRPr="005520FB">
        <w:rPr>
          <w:rFonts w:ascii="Times New Roman" w:hAnsi="Times New Roman"/>
          <w:color w:val="auto"/>
          <w:sz w:val="48"/>
        </w:rPr>
        <w:t xml:space="preserve"> p</w:t>
      </w:r>
      <w:r w:rsidRPr="005520FB">
        <w:rPr>
          <w:rFonts w:ascii="Times New Roman" w:hAnsi="Times New Roman"/>
          <w:color w:val="auto"/>
          <w:sz w:val="48"/>
        </w:rPr>
        <w:t>art</w:t>
      </w:r>
      <w:r w:rsidR="004C405E" w:rsidRPr="005520FB">
        <w:rPr>
          <w:rFonts w:ascii="Times New Roman" w:hAnsi="Times New Roman"/>
          <w:color w:val="auto"/>
          <w:sz w:val="48"/>
        </w:rPr>
        <w:t>ie</w:t>
      </w:r>
      <w:r w:rsidRPr="005520FB">
        <w:rPr>
          <w:rFonts w:ascii="Times New Roman" w:hAnsi="Times New Roman"/>
          <w:color w:val="auto"/>
          <w:sz w:val="48"/>
        </w:rPr>
        <w:t>)</w:t>
      </w:r>
      <w:r w:rsidR="00CB5D21" w:rsidRPr="005520FB">
        <w:rPr>
          <w:rFonts w:ascii="Times New Roman" w:hAnsi="Times New Roman"/>
          <w:color w:val="auto"/>
          <w:sz w:val="48"/>
        </w:rPr>
        <w:t xml:space="preserve"> </w:t>
      </w:r>
    </w:p>
    <w:p w:rsidR="00BC2F12" w:rsidRPr="005520FB" w:rsidRDefault="0017477C">
      <w:pPr>
        <w:pStyle w:val="NormalWeb"/>
        <w:rPr>
          <w:b/>
        </w:rPr>
      </w:pPr>
      <w:r w:rsidRPr="005520FB">
        <w:rPr>
          <w:b/>
        </w:rPr>
        <w:t xml:space="preserve">Par </w:t>
      </w:r>
      <w:r w:rsidR="00BF3A7E" w:rsidRPr="005520FB">
        <w:rPr>
          <w:b/>
        </w:rPr>
        <w:t>Peter Amsterdam</w:t>
      </w:r>
    </w:p>
    <w:p w:rsidR="00BC2F12" w:rsidRPr="005520FB" w:rsidRDefault="00B273FB">
      <w:pPr>
        <w:pStyle w:val="NormalWeb"/>
      </w:pPr>
      <w:r w:rsidRPr="005520FB">
        <w:t xml:space="preserve">Dans son récit </w:t>
      </w:r>
      <w:r w:rsidR="005A7423" w:rsidRPr="005520FB">
        <w:t>sur la</w:t>
      </w:r>
      <w:r w:rsidRPr="005520FB">
        <w:t xml:space="preserve"> naissance de Jésus, </w:t>
      </w:r>
      <w:r w:rsidR="00552EC2" w:rsidRPr="005520FB">
        <w:t>Luc</w:t>
      </w:r>
      <w:r w:rsidR="00BF3A7E" w:rsidRPr="005520FB">
        <w:t xml:space="preserve"> </w:t>
      </w:r>
      <w:r w:rsidRPr="005520FB">
        <w:t xml:space="preserve">commence par nous relater la naissance de Jean le Baptiste, qui était à la fois un parent de Jésus et le précurseur du Messie. Luc </w:t>
      </w:r>
      <w:r w:rsidR="005A7423" w:rsidRPr="005520FB">
        <w:t>souligne les nombreuses références à l’Ancien Testament et fait le lien entre les promesses de Dieu à Israël et l</w:t>
      </w:r>
      <w:r w:rsidR="007669B8">
        <w:t>’accomplissement d</w:t>
      </w:r>
      <w:r w:rsidR="005A7423" w:rsidRPr="005520FB">
        <w:t xml:space="preserve">e ces promesses dans la naissance de Jésus. </w:t>
      </w:r>
    </w:p>
    <w:p w:rsidR="00BC2F12" w:rsidRPr="005520FB" w:rsidRDefault="00B439EB" w:rsidP="00390B6C">
      <w:pPr>
        <w:pStyle w:val="NormalWeb"/>
      </w:pPr>
      <w:r w:rsidRPr="005520FB">
        <w:t xml:space="preserve">Nous faisons la connaissance d’un prêtre nommé </w:t>
      </w:r>
      <w:r w:rsidR="00BF3A7E" w:rsidRPr="005520FB">
        <w:t>Z</w:t>
      </w:r>
      <w:r w:rsidRPr="005520FB">
        <w:t>a</w:t>
      </w:r>
      <w:r w:rsidR="00BF3A7E" w:rsidRPr="005520FB">
        <w:t>chari</w:t>
      </w:r>
      <w:r w:rsidRPr="005520FB">
        <w:t>e dont l’épouse</w:t>
      </w:r>
      <w:r w:rsidR="00EC309C" w:rsidRPr="005520FB">
        <w:t>,</w:t>
      </w:r>
      <w:r w:rsidRPr="005520FB">
        <w:t xml:space="preserve"> </w:t>
      </w:r>
      <w:r w:rsidR="0089745A" w:rsidRPr="005520FB">
        <w:t>Élisabeth</w:t>
      </w:r>
      <w:r w:rsidR="00BF3A7E" w:rsidRPr="005520FB">
        <w:t xml:space="preserve">, </w:t>
      </w:r>
      <w:r w:rsidRPr="005520FB">
        <w:t>était une descendante d’Aaro</w:t>
      </w:r>
      <w:r w:rsidR="00BF3A7E" w:rsidRPr="005520FB">
        <w:t>n</w:t>
      </w:r>
      <w:r w:rsidRPr="005520FB">
        <w:t>, le frère de Moïse et premier prêtre d’Israël.</w:t>
      </w:r>
      <w:bookmarkStart w:id="0" w:name="_ftnref1"/>
      <w:r w:rsidR="00E406EB" w:rsidRPr="005520FB">
        <w:rPr>
          <w:rStyle w:val="EndnoteReference"/>
        </w:rPr>
        <w:endnoteReference w:id="1"/>
      </w:r>
      <w:bookmarkEnd w:id="0"/>
      <w:r w:rsidR="00BF3A7E" w:rsidRPr="005520FB">
        <w:t xml:space="preserve"> Z</w:t>
      </w:r>
      <w:r w:rsidR="00390B6C" w:rsidRPr="005520FB">
        <w:t>a</w:t>
      </w:r>
      <w:r w:rsidR="00BF3A7E" w:rsidRPr="005520FB">
        <w:t>chari</w:t>
      </w:r>
      <w:r w:rsidR="00390B6C" w:rsidRPr="005520FB">
        <w:t xml:space="preserve">e et </w:t>
      </w:r>
      <w:r w:rsidR="0089745A" w:rsidRPr="005520FB">
        <w:t>Élisabeth</w:t>
      </w:r>
      <w:r w:rsidR="00BF3A7E" w:rsidRPr="005520FB">
        <w:t xml:space="preserve"> </w:t>
      </w:r>
      <w:r w:rsidR="00390B6C" w:rsidRPr="005520FB">
        <w:rPr>
          <w:rStyle w:val="Emphasis"/>
          <w:i w:val="0"/>
        </w:rPr>
        <w:t>étaient</w:t>
      </w:r>
      <w:r w:rsidR="00390B6C" w:rsidRPr="005520FB">
        <w:rPr>
          <w:rStyle w:val="Emphasis"/>
        </w:rPr>
        <w:t xml:space="preserve"> tous deux justes aux yeux de Dieu et observaient tous les commandements et toutes les lois du Seigneur de façon irréprochable. Ils n’avaient pas d’enfant, car </w:t>
      </w:r>
      <w:r w:rsidR="0089745A" w:rsidRPr="005520FB">
        <w:rPr>
          <w:rStyle w:val="Emphasis"/>
        </w:rPr>
        <w:t>Élisabeth</w:t>
      </w:r>
      <w:r w:rsidR="00C12D2E" w:rsidRPr="005520FB">
        <w:rPr>
          <w:rStyle w:val="Emphasis"/>
        </w:rPr>
        <w:t> </w:t>
      </w:r>
      <w:r w:rsidR="00390B6C" w:rsidRPr="005520FB">
        <w:rPr>
          <w:rStyle w:val="Emphasis"/>
        </w:rPr>
        <w:t xml:space="preserve"> était stérile et tous deux étaient déjà très âgés.</w:t>
      </w:r>
      <w:r w:rsidR="00390B6C" w:rsidRPr="005520FB">
        <w:rPr>
          <w:rStyle w:val="EndnoteReference"/>
        </w:rPr>
        <w:endnoteReference w:id="2"/>
      </w:r>
    </w:p>
    <w:p w:rsidR="00BC2F12" w:rsidRPr="005520FB" w:rsidRDefault="00962472">
      <w:pPr>
        <w:pStyle w:val="NormalWeb"/>
      </w:pPr>
      <w:r w:rsidRPr="005520FB">
        <w:t xml:space="preserve">A l’époque biblique, l’infertilité était souvent perçue comme une punition divine et une </w:t>
      </w:r>
      <w:r w:rsidR="00D1347A">
        <w:t xml:space="preserve">occasion </w:t>
      </w:r>
      <w:r w:rsidRPr="005520FB">
        <w:t>d</w:t>
      </w:r>
      <w:bookmarkStart w:id="1" w:name="_ftnref3"/>
      <w:r w:rsidRPr="005520FB">
        <w:t>e honte.</w:t>
      </w:r>
      <w:r w:rsidR="00246ED9" w:rsidRPr="005520FB">
        <w:rPr>
          <w:rStyle w:val="EndnoteReference"/>
        </w:rPr>
        <w:endnoteReference w:id="3"/>
      </w:r>
      <w:bookmarkEnd w:id="1"/>
      <w:r w:rsidR="00BF3A7E" w:rsidRPr="005520FB">
        <w:t xml:space="preserve"> </w:t>
      </w:r>
      <w:r w:rsidRPr="005520FB">
        <w:t xml:space="preserve">Toutefois la situation de </w:t>
      </w:r>
      <w:r w:rsidR="00BF3A7E" w:rsidRPr="005520FB">
        <w:t>Z</w:t>
      </w:r>
      <w:r w:rsidRPr="005520FB">
        <w:t>a</w:t>
      </w:r>
      <w:r w:rsidR="00BF3A7E" w:rsidRPr="005520FB">
        <w:t>chari</w:t>
      </w:r>
      <w:r w:rsidRPr="005520FB">
        <w:t xml:space="preserve">e et </w:t>
      </w:r>
      <w:r w:rsidR="00E7595B" w:rsidRPr="005520FB">
        <w:t>Éli</w:t>
      </w:r>
      <w:r w:rsidR="00E7595B">
        <w:t>s</w:t>
      </w:r>
      <w:r w:rsidR="00E7595B" w:rsidRPr="005520FB">
        <w:t>abeth</w:t>
      </w:r>
      <w:r w:rsidRPr="005520FB">
        <w:t xml:space="preserve"> n’est pas sans rappeler </w:t>
      </w:r>
      <w:r w:rsidR="004333F4" w:rsidRPr="005520FB">
        <w:t xml:space="preserve">celle </w:t>
      </w:r>
      <w:r w:rsidRPr="005520FB">
        <w:t>de couples</w:t>
      </w:r>
      <w:r w:rsidR="004F7CE3">
        <w:t xml:space="preserve"> </w:t>
      </w:r>
      <w:r w:rsidR="00C12D2E" w:rsidRPr="005520FB">
        <w:t>vertueux</w:t>
      </w:r>
      <w:r w:rsidRPr="005520FB">
        <w:t xml:space="preserve"> d</w:t>
      </w:r>
      <w:r w:rsidR="004333F4" w:rsidRPr="005520FB">
        <w:t xml:space="preserve">e </w:t>
      </w:r>
      <w:r w:rsidRPr="005520FB">
        <w:t>l'</w:t>
      </w:r>
      <w:r w:rsidR="004333F4" w:rsidRPr="005520FB">
        <w:t>histoire d’</w:t>
      </w:r>
      <w:r w:rsidRPr="005520FB">
        <w:t xml:space="preserve">Israël qui étaient, eux aussi, stériles mais qui </w:t>
      </w:r>
      <w:r w:rsidR="004333F4" w:rsidRPr="005520FB">
        <w:t xml:space="preserve">conçurent un enfant </w:t>
      </w:r>
      <w:r w:rsidRPr="005520FB">
        <w:t>suite à l’intervention de Dieu</w:t>
      </w:r>
      <w:r w:rsidR="004333F4" w:rsidRPr="005520FB">
        <w:t xml:space="preserve"> : </w:t>
      </w:r>
      <w:r w:rsidR="00BF3A7E" w:rsidRPr="005520FB">
        <w:t xml:space="preserve">Abraham </w:t>
      </w:r>
      <w:r w:rsidR="00246ED9" w:rsidRPr="005520FB">
        <w:t>et</w:t>
      </w:r>
      <w:r w:rsidR="00BF3A7E" w:rsidRPr="005520FB">
        <w:t xml:space="preserve"> Sara</w:t>
      </w:r>
      <w:r w:rsidR="00246ED9" w:rsidRPr="005520FB">
        <w:rPr>
          <w:rStyle w:val="EndnoteReference"/>
        </w:rPr>
        <w:endnoteReference w:id="4"/>
      </w:r>
      <w:r w:rsidR="00BF3A7E" w:rsidRPr="005520FB">
        <w:t>, El</w:t>
      </w:r>
      <w:r w:rsidR="00246ED9" w:rsidRPr="005520FB">
        <w:t>qana</w:t>
      </w:r>
      <w:r w:rsidR="00BF3A7E" w:rsidRPr="005520FB">
        <w:t xml:space="preserve"> </w:t>
      </w:r>
      <w:r w:rsidR="00246ED9" w:rsidRPr="005520FB">
        <w:t>et</w:t>
      </w:r>
      <w:r w:rsidR="00BF3A7E" w:rsidRPr="005520FB">
        <w:t xml:space="preserve"> </w:t>
      </w:r>
      <w:r w:rsidR="00246ED9" w:rsidRPr="005520FB">
        <w:t>Anne</w:t>
      </w:r>
      <w:r w:rsidR="00246ED9" w:rsidRPr="005520FB">
        <w:rPr>
          <w:rStyle w:val="EndnoteReference"/>
        </w:rPr>
        <w:endnoteReference w:id="5"/>
      </w:r>
      <w:r w:rsidR="00BF3A7E" w:rsidRPr="005520FB">
        <w:t xml:space="preserve">, Isaac </w:t>
      </w:r>
      <w:r w:rsidR="00246ED9" w:rsidRPr="005520FB">
        <w:t>et</w:t>
      </w:r>
      <w:r w:rsidR="00BF3A7E" w:rsidRPr="005520FB">
        <w:t xml:space="preserve"> R</w:t>
      </w:r>
      <w:r w:rsidR="00A44DC0" w:rsidRPr="005520FB">
        <w:t>é</w:t>
      </w:r>
      <w:r w:rsidR="00BF3A7E" w:rsidRPr="005520FB">
        <w:t>be</w:t>
      </w:r>
      <w:r w:rsidR="00246ED9" w:rsidRPr="005520FB">
        <w:t>c</w:t>
      </w:r>
      <w:r w:rsidR="00A44DC0" w:rsidRPr="005520FB">
        <w:t>c</w:t>
      </w:r>
      <w:r w:rsidR="00246ED9" w:rsidRPr="005520FB">
        <w:t>a</w:t>
      </w:r>
      <w:bookmarkStart w:id="2" w:name="_ftnref6"/>
      <w:r w:rsidR="00A44DC0" w:rsidRPr="005520FB">
        <w:rPr>
          <w:rStyle w:val="EndnoteReference"/>
        </w:rPr>
        <w:endnoteReference w:id="6"/>
      </w:r>
      <w:r w:rsidR="00A44DC0" w:rsidRPr="005520FB">
        <w:t>,</w:t>
      </w:r>
      <w:bookmarkEnd w:id="2"/>
      <w:r w:rsidR="00BF3A7E" w:rsidRPr="005520FB">
        <w:t xml:space="preserve"> Jacob </w:t>
      </w:r>
      <w:r w:rsidR="00246ED9" w:rsidRPr="005520FB">
        <w:t>et</w:t>
      </w:r>
      <w:r w:rsidR="00BF3A7E" w:rsidRPr="005520FB">
        <w:t xml:space="preserve"> Rachel</w:t>
      </w:r>
      <w:r w:rsidR="00A44DC0" w:rsidRPr="005520FB">
        <w:rPr>
          <w:rStyle w:val="EndnoteReference"/>
        </w:rPr>
        <w:endnoteReference w:id="7"/>
      </w:r>
      <w:r w:rsidR="00BF3A7E" w:rsidRPr="005520FB">
        <w:t xml:space="preserve">, </w:t>
      </w:r>
      <w:r w:rsidR="00246ED9" w:rsidRPr="005520FB">
        <w:t xml:space="preserve">et les </w:t>
      </w:r>
      <w:r w:rsidR="00BF3A7E" w:rsidRPr="005520FB">
        <w:t xml:space="preserve">parents </w:t>
      </w:r>
      <w:r w:rsidR="00246ED9" w:rsidRPr="005520FB">
        <w:t>de</w:t>
      </w:r>
      <w:r w:rsidR="00BF3A7E" w:rsidRPr="005520FB">
        <w:t xml:space="preserve"> Samson.</w:t>
      </w:r>
      <w:bookmarkStart w:id="3" w:name="_ftnref8"/>
      <w:r w:rsidR="00135C18" w:rsidRPr="005520FB">
        <w:rPr>
          <w:rStyle w:val="EndnoteReference"/>
        </w:rPr>
        <w:endnoteReference w:id="8"/>
      </w:r>
      <w:bookmarkEnd w:id="3"/>
      <w:r w:rsidR="00F53286" w:rsidRPr="005520FB">
        <w:t xml:space="preserve"> </w:t>
      </w:r>
    </w:p>
    <w:p w:rsidR="00BC2F12" w:rsidRPr="005520FB" w:rsidRDefault="00E3459C">
      <w:pPr>
        <w:pStyle w:val="NormalWeb"/>
      </w:pPr>
      <w:r w:rsidRPr="005520FB">
        <w:t xml:space="preserve">En </w:t>
      </w:r>
      <w:r w:rsidR="00D07CED" w:rsidRPr="005520FB">
        <w:t>sa qualité de</w:t>
      </w:r>
      <w:r w:rsidRPr="005520FB">
        <w:t xml:space="preserve"> </w:t>
      </w:r>
      <w:r w:rsidR="00BF3A7E" w:rsidRPr="005520FB">
        <w:t>pr</w:t>
      </w:r>
      <w:r w:rsidRPr="005520FB">
        <w:t xml:space="preserve">être, </w:t>
      </w:r>
      <w:r w:rsidR="00BF3A7E" w:rsidRPr="005520FB">
        <w:t>Z</w:t>
      </w:r>
      <w:r w:rsidRPr="005520FB">
        <w:t>a</w:t>
      </w:r>
      <w:r w:rsidR="00BF3A7E" w:rsidRPr="005520FB">
        <w:t>chari</w:t>
      </w:r>
      <w:r w:rsidRPr="005520FB">
        <w:t xml:space="preserve">e officiait dans le </w:t>
      </w:r>
      <w:r w:rsidR="00BF3A7E" w:rsidRPr="005520FB">
        <w:t xml:space="preserve">temple </w:t>
      </w:r>
      <w:r w:rsidRPr="005520FB">
        <w:t xml:space="preserve">deux fois par an. </w:t>
      </w:r>
      <w:r w:rsidR="003E3438" w:rsidRPr="005520FB">
        <w:t>La prêtrise comportait vingt-quatre ordres ou classes sacerdotales. Chaque classe servait dans le temple à tour de rôle</w:t>
      </w:r>
      <w:r w:rsidR="005C731E" w:rsidRPr="005520FB">
        <w:t>,</w:t>
      </w:r>
      <w:r w:rsidR="003E3438" w:rsidRPr="005520FB">
        <w:t xml:space="preserve"> pendant une semaine</w:t>
      </w:r>
      <w:r w:rsidR="005C731E" w:rsidRPr="005520FB">
        <w:t>,</w:t>
      </w:r>
      <w:r w:rsidR="003E3438" w:rsidRPr="005520FB">
        <w:t xml:space="preserve"> tous les six mois. Par conséquent</w:t>
      </w:r>
      <w:r w:rsidR="005C731E" w:rsidRPr="005520FB">
        <w:t>,</w:t>
      </w:r>
      <w:r w:rsidR="003E3438" w:rsidRPr="005520FB">
        <w:t xml:space="preserve"> à tout moment, il n’y avait qu’un seul groupe de prêtres officiant dans le temple.</w:t>
      </w:r>
      <w:r w:rsidR="00F53286" w:rsidRPr="005520FB">
        <w:rPr>
          <w:rStyle w:val="EndnoteReference"/>
        </w:rPr>
        <w:endnoteReference w:id="9"/>
      </w:r>
    </w:p>
    <w:p w:rsidR="00BC2F12" w:rsidRPr="005520FB" w:rsidRDefault="00071BB2">
      <w:pPr>
        <w:pStyle w:val="NormalWeb"/>
      </w:pPr>
      <w:r w:rsidRPr="005520FB">
        <w:t xml:space="preserve">Cette année-là, </w:t>
      </w:r>
      <w:r w:rsidRPr="005520FB">
        <w:rPr>
          <w:rStyle w:val="Emphasis"/>
        </w:rPr>
        <w:t>suivant la coutume des prêtres, il avait été désigné par le sort pour entrer dans le sanctuaire du Seigneur et y offrir l’encens</w:t>
      </w:r>
      <w:r w:rsidR="00BF3A7E" w:rsidRPr="005520FB">
        <w:rPr>
          <w:rStyle w:val="Emphasis"/>
        </w:rPr>
        <w:t>.</w:t>
      </w:r>
      <w:r w:rsidR="00F53286" w:rsidRPr="005520FB">
        <w:rPr>
          <w:rStyle w:val="EndnoteReference"/>
        </w:rPr>
        <w:endnoteReference w:id="10"/>
      </w:r>
      <w:r w:rsidR="00BF3A7E" w:rsidRPr="005520FB">
        <w:t xml:space="preserve"> </w:t>
      </w:r>
      <w:r w:rsidR="00C45AAC" w:rsidRPr="005520FB">
        <w:t>Un des rituels quotidiens du temple consistait à brûler de l’encens avant le sacrifice du matin et après le sacrifice du soir.</w:t>
      </w:r>
      <w:r w:rsidR="00BF3A7E" w:rsidRPr="005520FB">
        <w:t xml:space="preserve"> </w:t>
      </w:r>
      <w:r w:rsidR="002907EB" w:rsidRPr="005520FB">
        <w:t xml:space="preserve">Ces offrandes d’encens </w:t>
      </w:r>
      <w:r w:rsidR="004D414B">
        <w:t xml:space="preserve">avaient lieu </w:t>
      </w:r>
      <w:r w:rsidR="002907EB" w:rsidRPr="005520FB">
        <w:t>dans le sanctuaire</w:t>
      </w:r>
      <w:r w:rsidR="0075279F" w:rsidRPr="005520FB">
        <w:t>,</w:t>
      </w:r>
      <w:r w:rsidR="002907EB" w:rsidRPr="005520FB">
        <w:t xml:space="preserve"> appelé le </w:t>
      </w:r>
      <w:r w:rsidR="0075279F" w:rsidRPr="005520FB">
        <w:t>L</w:t>
      </w:r>
      <w:r w:rsidR="002907EB" w:rsidRPr="005520FB">
        <w:t xml:space="preserve">ieu </w:t>
      </w:r>
      <w:r w:rsidR="0075279F" w:rsidRPr="005520FB">
        <w:t>S</w:t>
      </w:r>
      <w:r w:rsidR="002907EB" w:rsidRPr="005520FB">
        <w:t xml:space="preserve">aint, lequel était le deuxième lieu le plus sacré après le </w:t>
      </w:r>
      <w:r w:rsidR="0075279F" w:rsidRPr="005520FB">
        <w:t>S</w:t>
      </w:r>
      <w:r w:rsidR="002907EB" w:rsidRPr="005520FB">
        <w:t xml:space="preserve">aint des </w:t>
      </w:r>
      <w:r w:rsidR="0075279F" w:rsidRPr="005520FB">
        <w:t>S</w:t>
      </w:r>
      <w:r w:rsidR="002907EB" w:rsidRPr="005520FB">
        <w:t>aints. C’était un grand honneur pour un prêtre d’</w:t>
      </w:r>
      <w:r w:rsidR="00530574">
        <w:t xml:space="preserve">être </w:t>
      </w:r>
      <w:r w:rsidR="00352BEB">
        <w:t>désigné p</w:t>
      </w:r>
      <w:r w:rsidR="00530574">
        <w:t xml:space="preserve">our </w:t>
      </w:r>
      <w:r w:rsidR="002907EB" w:rsidRPr="005520FB">
        <w:t xml:space="preserve">offrir ce sacrifice, et chaque prêtre avait le droit de le faire une seule fois dans sa vie. </w:t>
      </w:r>
      <w:r w:rsidR="0075279F" w:rsidRPr="005520FB">
        <w:t xml:space="preserve">Pour </w:t>
      </w:r>
      <w:r w:rsidR="004F7CE3">
        <w:t xml:space="preserve">avoir </w:t>
      </w:r>
      <w:r w:rsidR="0075279F" w:rsidRPr="005520FB">
        <w:t>cet honneur, l</w:t>
      </w:r>
      <w:r w:rsidR="002907EB" w:rsidRPr="005520FB">
        <w:t>e prêtre était choisi par tirage au sort</w:t>
      </w:r>
      <w:r w:rsidR="00B6525F">
        <w:t>,</w:t>
      </w:r>
      <w:r w:rsidR="002907EB" w:rsidRPr="005520FB">
        <w:t xml:space="preserve"> et on considérait </w:t>
      </w:r>
      <w:r w:rsidR="0075279F" w:rsidRPr="005520FB">
        <w:t>celui que le sort avait désigné comme étant</w:t>
      </w:r>
      <w:r w:rsidR="002907EB" w:rsidRPr="005520FB">
        <w:t xml:space="preserve"> choisi par Dieu. Sur les cinq prêtres participant au service, un seul était choisi pour offrir l’encens. </w:t>
      </w:r>
    </w:p>
    <w:p w:rsidR="00BC2F12" w:rsidRPr="005520FB" w:rsidRDefault="00761B40">
      <w:pPr>
        <w:pStyle w:val="NormalWeb"/>
      </w:pPr>
      <w:r w:rsidRPr="005520FB">
        <w:t>L’autel des parfums était situé dans le sanctuaire</w:t>
      </w:r>
      <w:r w:rsidR="00EF480A" w:rsidRPr="005520FB">
        <w:t xml:space="preserve"> même</w:t>
      </w:r>
      <w:r w:rsidRPr="005520FB">
        <w:t xml:space="preserve">, séparé du </w:t>
      </w:r>
      <w:r w:rsidR="00EF480A" w:rsidRPr="005520FB">
        <w:t>S</w:t>
      </w:r>
      <w:r w:rsidRPr="005520FB">
        <w:t xml:space="preserve">aint des </w:t>
      </w:r>
      <w:r w:rsidR="00EF480A" w:rsidRPr="005520FB">
        <w:t>S</w:t>
      </w:r>
      <w:r w:rsidRPr="005520FB">
        <w:t xml:space="preserve">aints – le lieu où Dieu était censé résider – par une épaisse tenture. Seul le grand-prêtre était autorisé à pénétrer dans le </w:t>
      </w:r>
      <w:r w:rsidR="00EF480A" w:rsidRPr="005520FB">
        <w:t>S</w:t>
      </w:r>
      <w:r w:rsidRPr="005520FB">
        <w:t xml:space="preserve">aint des </w:t>
      </w:r>
      <w:r w:rsidR="00EF480A" w:rsidRPr="005520FB">
        <w:t>S</w:t>
      </w:r>
      <w:r w:rsidRPr="005520FB">
        <w:t xml:space="preserve">aints, et seulement une fois par an, à l’occasion de </w:t>
      </w:r>
      <w:r w:rsidR="00BF3A7E" w:rsidRPr="005520FB">
        <w:t>Yom Kipp</w:t>
      </w:r>
      <w:r w:rsidR="00BF6E91" w:rsidRPr="005520FB">
        <w:t>o</w:t>
      </w:r>
      <w:r w:rsidR="00BF3A7E" w:rsidRPr="005520FB">
        <w:t xml:space="preserve">ur, </w:t>
      </w:r>
      <w:r w:rsidRPr="005520FB">
        <w:t xml:space="preserve">le jour du Grand Pardon. </w:t>
      </w:r>
      <w:r w:rsidR="005F6C84" w:rsidRPr="005520FB">
        <w:t>Le rituel de l’offrande du parfum sur l’autel</w:t>
      </w:r>
      <w:r w:rsidR="00152B60" w:rsidRPr="005520FB">
        <w:t>,</w:t>
      </w:r>
      <w:r w:rsidR="005F6C84" w:rsidRPr="005520FB">
        <w:t xml:space="preserve"> qui n’était séparé du </w:t>
      </w:r>
      <w:r w:rsidR="00EF480A" w:rsidRPr="005520FB">
        <w:t>S</w:t>
      </w:r>
      <w:r w:rsidR="005F6C84" w:rsidRPr="005520FB">
        <w:t xml:space="preserve">aint des </w:t>
      </w:r>
      <w:r w:rsidR="00EF480A" w:rsidRPr="005520FB">
        <w:t>S</w:t>
      </w:r>
      <w:r w:rsidR="005F6C84" w:rsidRPr="005520FB">
        <w:t>aints que par une tenture</w:t>
      </w:r>
      <w:r w:rsidR="00152B60" w:rsidRPr="005520FB">
        <w:t>,</w:t>
      </w:r>
      <w:r w:rsidR="005F6C84" w:rsidRPr="005520FB">
        <w:t xml:space="preserve"> mettait Zacharie plus près de la présence de Dieu que </w:t>
      </w:r>
      <w:r w:rsidR="00B6525F">
        <w:t>n’importe qui d’</w:t>
      </w:r>
      <w:r w:rsidR="005F6C84" w:rsidRPr="005520FB">
        <w:t>autre</w:t>
      </w:r>
      <w:r w:rsidR="00EF480A" w:rsidRPr="005520FB">
        <w:t>,</w:t>
      </w:r>
      <w:r w:rsidR="005F6C84" w:rsidRPr="005520FB">
        <w:t xml:space="preserve"> à part le </w:t>
      </w:r>
      <w:r w:rsidR="00152B60" w:rsidRPr="005520FB">
        <w:t xml:space="preserve">Grand </w:t>
      </w:r>
      <w:r w:rsidR="00EF480A" w:rsidRPr="005520FB">
        <w:t>P</w:t>
      </w:r>
      <w:r w:rsidR="00152B60" w:rsidRPr="005520FB">
        <w:t xml:space="preserve">rêtre. </w:t>
      </w:r>
      <w:r w:rsidR="003029C7" w:rsidRPr="005520FB">
        <w:t xml:space="preserve">C’était un grand </w:t>
      </w:r>
      <w:r w:rsidR="00BF3A7E" w:rsidRPr="005520FB">
        <w:t>hon</w:t>
      </w:r>
      <w:r w:rsidR="003029C7" w:rsidRPr="005520FB">
        <w:t>neur</w:t>
      </w:r>
      <w:r w:rsidR="00BF3A7E" w:rsidRPr="005520FB">
        <w:t>.</w:t>
      </w:r>
      <w:r w:rsidR="00AE1507" w:rsidRPr="005520FB">
        <w:rPr>
          <w:rStyle w:val="EndnoteReference"/>
        </w:rPr>
        <w:endnoteReference w:id="11"/>
      </w:r>
    </w:p>
    <w:p w:rsidR="00BC2F12" w:rsidRPr="005520FB" w:rsidRDefault="00AE1507" w:rsidP="00530E68">
      <w:pPr>
        <w:pStyle w:val="NormalWeb"/>
      </w:pPr>
      <w:r w:rsidRPr="005520FB">
        <w:t xml:space="preserve">Alors que </w:t>
      </w:r>
      <w:r w:rsidR="00BF3A7E" w:rsidRPr="005520FB">
        <w:t>Z</w:t>
      </w:r>
      <w:r w:rsidRPr="005520FB">
        <w:t>a</w:t>
      </w:r>
      <w:r w:rsidR="00BF3A7E" w:rsidRPr="005520FB">
        <w:t>chari</w:t>
      </w:r>
      <w:r w:rsidRPr="005520FB">
        <w:t xml:space="preserve">e se trouvait dans le sanctuaire, </w:t>
      </w:r>
      <w:r w:rsidRPr="005520FB">
        <w:rPr>
          <w:rStyle w:val="Emphasis"/>
        </w:rPr>
        <w:t>tout à coup, un ange du Seigneur lui apparut, debout à droite de l’autel des parfums. Quand Zacharie le vit, il en fut bouleversé et la peur s’empara de lui</w:t>
      </w:r>
      <w:r w:rsidR="00BF3A7E" w:rsidRPr="005520FB">
        <w:rPr>
          <w:rStyle w:val="Emphasis"/>
        </w:rPr>
        <w:t>.</w:t>
      </w:r>
      <w:r w:rsidRPr="005520FB">
        <w:rPr>
          <w:rStyle w:val="EndnoteReference"/>
        </w:rPr>
        <w:endnoteReference w:id="12"/>
      </w:r>
      <w:r w:rsidR="00BF3A7E" w:rsidRPr="005520FB">
        <w:t xml:space="preserve"> </w:t>
      </w:r>
      <w:r w:rsidR="00E72108" w:rsidRPr="005520FB">
        <w:t>La droite était considérée comme la place d’honneur, ce qui pourrait être une indication de l’importance de l’ange</w:t>
      </w:r>
      <w:r w:rsidR="00AA63E8">
        <w:t>,</w:t>
      </w:r>
      <w:r w:rsidR="00E72108" w:rsidRPr="005520FB">
        <w:t xml:space="preserve"> qui </w:t>
      </w:r>
      <w:r w:rsidR="00BE7669">
        <w:t xml:space="preserve">n’était autre que </w:t>
      </w:r>
      <w:r w:rsidR="00E72108" w:rsidRPr="005520FB">
        <w:t xml:space="preserve">Gabriel – ce même </w:t>
      </w:r>
      <w:r w:rsidR="00E72108" w:rsidRPr="005520FB">
        <w:lastRenderedPageBreak/>
        <w:t>ange qui, six mois plus tard, rendra visite à Marie, et qui</w:t>
      </w:r>
      <w:r w:rsidR="00A82039" w:rsidRPr="005520FB">
        <w:t>,</w:t>
      </w:r>
      <w:r w:rsidR="00E72108" w:rsidRPr="005520FB">
        <w:t xml:space="preserve"> des siècles auparavant</w:t>
      </w:r>
      <w:r w:rsidR="00A82039" w:rsidRPr="005520FB">
        <w:t>,</w:t>
      </w:r>
      <w:r w:rsidR="00E72108" w:rsidRPr="005520FB">
        <w:t xml:space="preserve"> avait été porteur d’un message pour Daniel. </w:t>
      </w:r>
      <w:r w:rsidR="00BF3A7E" w:rsidRPr="005520FB">
        <w:t>Z</w:t>
      </w:r>
      <w:r w:rsidR="00EC433D" w:rsidRPr="005520FB">
        <w:t>a</w:t>
      </w:r>
      <w:r w:rsidR="00BF3A7E" w:rsidRPr="005520FB">
        <w:t>chari</w:t>
      </w:r>
      <w:r w:rsidR="00EC433D" w:rsidRPr="005520FB">
        <w:t xml:space="preserve">e </w:t>
      </w:r>
      <w:r w:rsidR="00F15242" w:rsidRPr="005520FB">
        <w:t>av</w:t>
      </w:r>
      <w:r w:rsidR="00EC433D" w:rsidRPr="005520FB">
        <w:t>ait</w:t>
      </w:r>
      <w:r w:rsidR="00F15242" w:rsidRPr="005520FB">
        <w:t xml:space="preserve"> réagi de </w:t>
      </w:r>
      <w:r w:rsidR="00EC433D" w:rsidRPr="005520FB">
        <w:t xml:space="preserve">la même </w:t>
      </w:r>
      <w:r w:rsidR="00F15242" w:rsidRPr="005520FB">
        <w:t xml:space="preserve">façon que </w:t>
      </w:r>
      <w:r w:rsidR="00BF3A7E" w:rsidRPr="005520FB">
        <w:t>Daniel</w:t>
      </w:r>
      <w:r w:rsidR="00A82039" w:rsidRPr="005520FB">
        <w:t>,</w:t>
      </w:r>
      <w:r w:rsidR="00EC433D" w:rsidRPr="005520FB">
        <w:t xml:space="preserve"> qui avait dit: </w:t>
      </w:r>
      <w:r w:rsidR="00C2459A" w:rsidRPr="005520FB">
        <w:t>« </w:t>
      </w:r>
      <w:r w:rsidR="00C2459A" w:rsidRPr="005520FB">
        <w:rPr>
          <w:rStyle w:val="Emphasis"/>
        </w:rPr>
        <w:t>J</w:t>
      </w:r>
      <w:r w:rsidR="00530E68" w:rsidRPr="005520FB">
        <w:rPr>
          <w:rStyle w:val="Emphasis"/>
        </w:rPr>
        <w:t>’entendis une voix, venant de la rivière Oulaï, lui crier : Gabriel, explique à cet homme la vision qu’il a eue. Gabriel s’approcha de l’endroit où je me tenais. Terrifié, je me jetai le visage contre terre.</w:t>
      </w:r>
      <w:r w:rsidR="00C2459A" w:rsidRPr="005520FB">
        <w:rPr>
          <w:rStyle w:val="Emphasis"/>
        </w:rPr>
        <w:t> »</w:t>
      </w:r>
      <w:r w:rsidR="00530E68" w:rsidRPr="005520FB">
        <w:rPr>
          <w:rStyle w:val="Emphasis"/>
        </w:rPr>
        <w:t xml:space="preserve"> </w:t>
      </w:r>
      <w:r w:rsidR="00EC433D" w:rsidRPr="005520FB">
        <w:rPr>
          <w:rStyle w:val="EndnoteReference"/>
        </w:rPr>
        <w:endnoteReference w:id="13"/>
      </w:r>
    </w:p>
    <w:p w:rsidR="00BC2F12" w:rsidRPr="005520FB" w:rsidRDefault="00C2459A" w:rsidP="00ED2D04">
      <w:pPr>
        <w:pStyle w:val="NormalWeb"/>
      </w:pPr>
      <w:r w:rsidRPr="005520FB">
        <w:t>L’</w:t>
      </w:r>
      <w:r w:rsidR="00BF3A7E" w:rsidRPr="005520FB">
        <w:t>ange</w:t>
      </w:r>
      <w:r w:rsidRPr="005520FB">
        <w:t xml:space="preserve"> dit à </w:t>
      </w:r>
      <w:r w:rsidR="00BF3A7E" w:rsidRPr="005520FB">
        <w:t>Z</w:t>
      </w:r>
      <w:r w:rsidRPr="005520FB">
        <w:t>a</w:t>
      </w:r>
      <w:r w:rsidR="00BF3A7E" w:rsidRPr="005520FB">
        <w:t>chari</w:t>
      </w:r>
      <w:r w:rsidRPr="005520FB">
        <w:t xml:space="preserve">e : </w:t>
      </w:r>
      <w:r w:rsidR="00ED2D04" w:rsidRPr="005520FB">
        <w:t>« </w:t>
      </w:r>
      <w:r w:rsidR="00ED2D04" w:rsidRPr="005520FB">
        <w:rPr>
          <w:rStyle w:val="Emphasis"/>
        </w:rPr>
        <w:t xml:space="preserve">N’aie pas peur, Zacharie, car Dieu a entendu ta prière : ta femme </w:t>
      </w:r>
      <w:r w:rsidR="0089745A" w:rsidRPr="005520FB">
        <w:rPr>
          <w:rStyle w:val="Emphasis"/>
        </w:rPr>
        <w:t>Élisabeth</w:t>
      </w:r>
      <w:r w:rsidR="00ED2D04" w:rsidRPr="005520FB">
        <w:rPr>
          <w:rStyle w:val="Emphasis"/>
        </w:rPr>
        <w:t xml:space="preserve"> te donnera un fils. Tu l'appelleras Jean. Il sera pour toi le sujet d’une très grande joie, et beaucoup de gens se réjouiront de sa naissance. Il sera grand aux yeux du Seigneur.</w:t>
      </w:r>
      <w:r w:rsidRPr="005520FB">
        <w:rPr>
          <w:rStyle w:val="EndnoteReference"/>
        </w:rPr>
        <w:endnoteReference w:id="14"/>
      </w:r>
      <w:r w:rsidR="00BF3A7E" w:rsidRPr="005520FB">
        <w:t xml:space="preserve"> </w:t>
      </w:r>
      <w:r w:rsidR="00B02904" w:rsidRPr="005520FB">
        <w:t>Da</w:t>
      </w:r>
      <w:r w:rsidR="008A4BC3" w:rsidRPr="005520FB">
        <w:t>ns l’Ancien</w:t>
      </w:r>
      <w:r w:rsidR="00B02904" w:rsidRPr="005520FB">
        <w:t xml:space="preserve"> </w:t>
      </w:r>
      <w:r w:rsidR="00BF3A7E" w:rsidRPr="005520FB">
        <w:t xml:space="preserve">Testament, </w:t>
      </w:r>
      <w:r w:rsidR="00B02904" w:rsidRPr="005520FB">
        <w:t>lorsque Dieu nommait un enfant, il s’agissait souvent de quelqu’un qui a</w:t>
      </w:r>
      <w:r w:rsidR="00AA63E8">
        <w:t>urai</w:t>
      </w:r>
      <w:r w:rsidR="00B02904" w:rsidRPr="005520FB">
        <w:t>t une importance particulière pour le salut</w:t>
      </w:r>
      <w:r w:rsidR="00A82039" w:rsidRPr="005520FB">
        <w:t xml:space="preserve"> des hommes</w:t>
      </w:r>
      <w:r w:rsidR="00B02904" w:rsidRPr="005520FB">
        <w:t xml:space="preserve">. </w:t>
      </w:r>
      <w:r w:rsidR="00111D0C" w:rsidRPr="005520FB">
        <w:t xml:space="preserve">Le fait de dire que beaucoup de gens se réjouiraient </w:t>
      </w:r>
      <w:r w:rsidR="00CD646D" w:rsidRPr="005520FB">
        <w:t>de</w:t>
      </w:r>
      <w:r w:rsidR="00111D0C" w:rsidRPr="005520FB">
        <w:t xml:space="preserve"> sa naissance et qu’il serait grand aux yeux du Seigneur renforçait l’idée qu’il aurait un rôle très important à jouer dans le plan divin du salut.</w:t>
      </w:r>
    </w:p>
    <w:p w:rsidR="00BC2F12" w:rsidRPr="005520FB" w:rsidRDefault="007F500A">
      <w:pPr>
        <w:pStyle w:val="NormalWeb"/>
      </w:pPr>
      <w:bookmarkStart w:id="4" w:name="aa"/>
      <w:bookmarkEnd w:id="4"/>
      <w:r w:rsidRPr="005520FB">
        <w:t xml:space="preserve">L’ange annonce à </w:t>
      </w:r>
      <w:r w:rsidR="00BF3A7E" w:rsidRPr="005520FB">
        <w:t>Z</w:t>
      </w:r>
      <w:r w:rsidRPr="005520FB">
        <w:t>a</w:t>
      </w:r>
      <w:r w:rsidR="00BF3A7E" w:rsidRPr="005520FB">
        <w:t>chari</w:t>
      </w:r>
      <w:r w:rsidRPr="005520FB">
        <w:t xml:space="preserve">e que son fils </w:t>
      </w:r>
      <w:r w:rsidRPr="005520FB">
        <w:rPr>
          <w:rStyle w:val="Emphasis"/>
        </w:rPr>
        <w:t>ne boira ni vin, ni boisson alcoolisée et qu’il sera rempli de l’Esprit Saint dès le sein maternel</w:t>
      </w:r>
      <w:r w:rsidR="00BF3A7E" w:rsidRPr="005520FB">
        <w:rPr>
          <w:rStyle w:val="Emphasis"/>
        </w:rPr>
        <w:t>.</w:t>
      </w:r>
      <w:r w:rsidRPr="005520FB">
        <w:rPr>
          <w:rStyle w:val="EndnoteReference"/>
        </w:rPr>
        <w:endnoteReference w:id="15"/>
      </w:r>
      <w:r w:rsidR="00BF3A7E" w:rsidRPr="005520FB">
        <w:t xml:space="preserve"> </w:t>
      </w:r>
      <w:r w:rsidR="00FF18AA" w:rsidRPr="005520FB">
        <w:t xml:space="preserve">Quand les prêtres accomplissaient leur service dans le temple, ils s’abstenaient de boissons alcoolisées, tout comme ceux qui faisaient un vœu de </w:t>
      </w:r>
      <w:r w:rsidR="007946D4" w:rsidRPr="005520FB">
        <w:t>n</w:t>
      </w:r>
      <w:r w:rsidR="00FF18AA" w:rsidRPr="005520FB">
        <w:t>azaréen.</w:t>
      </w:r>
      <w:r w:rsidRPr="005520FB">
        <w:rPr>
          <w:rStyle w:val="EndnoteReference"/>
        </w:rPr>
        <w:endnoteReference w:id="16"/>
      </w:r>
      <w:r w:rsidR="00BF3A7E" w:rsidRPr="005520FB">
        <w:t xml:space="preserve"> </w:t>
      </w:r>
      <w:r w:rsidR="00C56D63" w:rsidRPr="005520FB">
        <w:t xml:space="preserve">Le fait de </w:t>
      </w:r>
      <w:r w:rsidR="00C967D7" w:rsidRPr="005520FB">
        <w:t xml:space="preserve">s’abstenir de boissons </w:t>
      </w:r>
      <w:r w:rsidR="00C56D63" w:rsidRPr="005520FB">
        <w:t>alcool</w:t>
      </w:r>
      <w:r w:rsidR="00C967D7" w:rsidRPr="005520FB">
        <w:t>isées</w:t>
      </w:r>
      <w:r w:rsidR="00C56D63" w:rsidRPr="005520FB">
        <w:t xml:space="preserve"> était un</w:t>
      </w:r>
      <w:r w:rsidR="00C967D7" w:rsidRPr="005520FB">
        <w:t xml:space="preserve"> signe d</w:t>
      </w:r>
      <w:r w:rsidR="00C56D63" w:rsidRPr="005520FB">
        <w:t xml:space="preserve">e séparation de la vie normale pour </w:t>
      </w:r>
      <w:r w:rsidR="00C967D7" w:rsidRPr="005520FB">
        <w:t xml:space="preserve">pouvoir se consacrer à </w:t>
      </w:r>
      <w:r w:rsidR="00C56D63" w:rsidRPr="005520FB">
        <w:t>une tâche divine,</w:t>
      </w:r>
      <w:r w:rsidR="00C967D7" w:rsidRPr="005520FB">
        <w:t xml:space="preserve"> soit temporairement soit pour toute la vie. Donc là</w:t>
      </w:r>
      <w:r w:rsidR="00CE475B" w:rsidRPr="005520FB">
        <w:t>,</w:t>
      </w:r>
      <w:r w:rsidR="00C967D7" w:rsidRPr="005520FB">
        <w:t xml:space="preserve"> nous voyons que Jean est choisi par Dieu avant </w:t>
      </w:r>
      <w:r w:rsidR="00CE475B" w:rsidRPr="005520FB">
        <w:t xml:space="preserve">même </w:t>
      </w:r>
      <w:r w:rsidR="00C967D7" w:rsidRPr="005520FB">
        <w:t>sa conception</w:t>
      </w:r>
      <w:r w:rsidR="00BF3A7E" w:rsidRPr="005520FB">
        <w:t>.</w:t>
      </w:r>
      <w:r w:rsidRPr="005520FB">
        <w:rPr>
          <w:rStyle w:val="EndnoteReference"/>
        </w:rPr>
        <w:endnoteReference w:id="17"/>
      </w:r>
    </w:p>
    <w:p w:rsidR="00BC2F12" w:rsidRPr="005520FB" w:rsidRDefault="00AD306C">
      <w:pPr>
        <w:pStyle w:val="NormalWeb"/>
      </w:pPr>
      <w:r w:rsidRPr="005520FB">
        <w:t>L’</w:t>
      </w:r>
      <w:r w:rsidR="00BF3A7E" w:rsidRPr="005520FB">
        <w:t>ange</w:t>
      </w:r>
      <w:r w:rsidRPr="005520FB">
        <w:t xml:space="preserve"> donne à </w:t>
      </w:r>
      <w:r w:rsidR="00BF3A7E" w:rsidRPr="005520FB">
        <w:t>Z</w:t>
      </w:r>
      <w:r w:rsidRPr="005520FB">
        <w:t>a</w:t>
      </w:r>
      <w:r w:rsidR="00BF3A7E" w:rsidRPr="005520FB">
        <w:t>chari</w:t>
      </w:r>
      <w:r w:rsidRPr="005520FB">
        <w:t>e un aperçu du futur de l’enfant</w:t>
      </w:r>
      <w:r w:rsidR="00BF3A7E" w:rsidRPr="005520FB">
        <w:t>.</w:t>
      </w:r>
    </w:p>
    <w:p w:rsidR="00BC2F12" w:rsidRPr="005520FB" w:rsidRDefault="00AD306C" w:rsidP="00AD306C">
      <w:pPr>
        <w:pStyle w:val="indent"/>
      </w:pPr>
      <w:r w:rsidRPr="005520FB">
        <w:rPr>
          <w:rStyle w:val="Emphasis"/>
        </w:rPr>
        <w:t>Il ramènera beaucoup d’Israélites au Seigneur leur Dieu. Il viendra comme messager de Dieu avec l’esprit et la puissance du prophète Élie, pour réconcilier les pères avec leurs enfants et ramener les désobéissants à la sagesse des justes ; il formera un peuple prêt pour le Seigneur</w:t>
      </w:r>
      <w:r w:rsidR="00BF3A7E" w:rsidRPr="005520FB">
        <w:rPr>
          <w:rStyle w:val="Emphasis"/>
        </w:rPr>
        <w:t>.</w:t>
      </w:r>
      <w:r w:rsidR="00092537" w:rsidRPr="005520FB">
        <w:rPr>
          <w:rStyle w:val="EndnoteReference"/>
        </w:rPr>
        <w:endnoteReference w:id="18"/>
      </w:r>
    </w:p>
    <w:p w:rsidR="00BC2F12" w:rsidRPr="005520FB" w:rsidRDefault="00704C48">
      <w:pPr>
        <w:pStyle w:val="NormalWeb"/>
      </w:pPr>
      <w:r w:rsidRPr="005520FB">
        <w:t xml:space="preserve">Le rôle de </w:t>
      </w:r>
      <w:r w:rsidR="00BF3A7E" w:rsidRPr="005520FB">
        <w:t>J</w:t>
      </w:r>
      <w:r w:rsidRPr="005520FB">
        <w:t xml:space="preserve">ean sera celui d’un prophète </w:t>
      </w:r>
      <w:r w:rsidR="0039609D" w:rsidRPr="005520FB">
        <w:t xml:space="preserve">chargé </w:t>
      </w:r>
      <w:r w:rsidRPr="005520FB">
        <w:t>d’amener la réconciliation spirituelle à la nation</w:t>
      </w:r>
      <w:r w:rsidR="00AD3D32" w:rsidRPr="005520FB">
        <w:t>,</w:t>
      </w:r>
      <w:r w:rsidRPr="005520FB">
        <w:t xml:space="preserve"> en faisant revenir beaucoup de gens au Seigneur.</w:t>
      </w:r>
      <w:r w:rsidR="0039609D" w:rsidRPr="005520FB">
        <w:t xml:space="preserve"> </w:t>
      </w:r>
      <w:r w:rsidR="00BE210E" w:rsidRPr="005520FB">
        <w:t>Sa venue</w:t>
      </w:r>
      <w:r w:rsidR="00AD3D32" w:rsidRPr="005520FB">
        <w:t>,</w:t>
      </w:r>
      <w:r w:rsidR="00BE210E" w:rsidRPr="005520FB">
        <w:t xml:space="preserve"> dans l’esprit et la puissance d’Elie</w:t>
      </w:r>
      <w:r w:rsidR="00AD3D32" w:rsidRPr="005520FB">
        <w:t>,</w:t>
      </w:r>
      <w:r w:rsidR="00BF3A7E" w:rsidRPr="005520FB">
        <w:t xml:space="preserve"> </w:t>
      </w:r>
      <w:r w:rsidR="00241599" w:rsidRPr="005520FB">
        <w:t xml:space="preserve">renvoie à </w:t>
      </w:r>
      <w:r w:rsidR="00BE210E" w:rsidRPr="005520FB">
        <w:t>la promesse faite par Dieu</w:t>
      </w:r>
      <w:r w:rsidR="00AD3D32" w:rsidRPr="005520FB">
        <w:t>,</w:t>
      </w:r>
      <w:r w:rsidR="00BE210E" w:rsidRPr="005520FB">
        <w:t xml:space="preserve"> quatre siècles auparavant</w:t>
      </w:r>
      <w:r w:rsidR="00AD3D32" w:rsidRPr="005520FB">
        <w:t>,</w:t>
      </w:r>
      <w:r w:rsidR="00BE210E" w:rsidRPr="005520FB">
        <w:t xml:space="preserve"> dans le livre de Malachie : </w:t>
      </w:r>
    </w:p>
    <w:p w:rsidR="00BC2F12" w:rsidRPr="005520FB" w:rsidRDefault="00073F66" w:rsidP="00073F66">
      <w:pPr>
        <w:pStyle w:val="indent"/>
      </w:pPr>
      <w:r w:rsidRPr="00073F66">
        <w:rPr>
          <w:rStyle w:val="Emphasis"/>
        </w:rPr>
        <w:t>Avant la venue du jour du S</w:t>
      </w:r>
      <w:r>
        <w:rPr>
          <w:rStyle w:val="Emphasis"/>
        </w:rPr>
        <w:t>eigneur,</w:t>
      </w:r>
      <w:r w:rsidRPr="00073F66">
        <w:rPr>
          <w:rStyle w:val="Emphasis"/>
        </w:rPr>
        <w:t xml:space="preserve"> ce jour grand et terrible, je vous enverrai le prophète Élie. Il fera la paix entre les pères et leurs enfants, ainsi qu’entre les enfants et leurs pères. Alors, je ne viendrai pas détruire votre pays. »</w:t>
      </w:r>
      <w:r w:rsidR="005A74F3" w:rsidRPr="005520FB">
        <w:rPr>
          <w:rStyle w:val="EndnoteReference"/>
        </w:rPr>
        <w:endnoteReference w:id="19"/>
      </w:r>
    </w:p>
    <w:p w:rsidR="00BC2F12" w:rsidRPr="005520FB" w:rsidRDefault="004C6B0A">
      <w:pPr>
        <w:pStyle w:val="NormalWeb"/>
      </w:pPr>
      <w:r w:rsidRPr="005520FB">
        <w:t>La tâche de Jean est de préparer le peuple d’Isr</w:t>
      </w:r>
      <w:r w:rsidR="00492C6E" w:rsidRPr="005520FB">
        <w:t>a</w:t>
      </w:r>
      <w:r w:rsidRPr="005520FB">
        <w:t>ël à la venue du Seigneur</w:t>
      </w:r>
      <w:r w:rsidR="00AD3D32" w:rsidRPr="005520FB">
        <w:t>,</w:t>
      </w:r>
      <w:r w:rsidRPr="005520FB">
        <w:t xml:space="preserve"> en les amenant à la repentance. La fin de la période d’attente du Messie, et la délivrance, approchent. Dieu s’est mis en marche. </w:t>
      </w:r>
      <w:r w:rsidR="00F80250" w:rsidRPr="005520FB">
        <w:rPr>
          <w:rStyle w:val="EndnoteReference"/>
        </w:rPr>
        <w:endnoteReference w:id="20"/>
      </w:r>
    </w:p>
    <w:p w:rsidR="00BC2F12" w:rsidRPr="005520FB" w:rsidRDefault="00F80250">
      <w:pPr>
        <w:pStyle w:val="NormalWeb"/>
      </w:pPr>
      <w:r w:rsidRPr="005520FB">
        <w:t xml:space="preserve">C’est alors que </w:t>
      </w:r>
      <w:r w:rsidR="00BF3A7E" w:rsidRPr="005520FB">
        <w:t>Z</w:t>
      </w:r>
      <w:r w:rsidRPr="005520FB">
        <w:t>a</w:t>
      </w:r>
      <w:r w:rsidR="00BF3A7E" w:rsidRPr="005520FB">
        <w:t>chari</w:t>
      </w:r>
      <w:r w:rsidRPr="005520FB">
        <w:t>e rétorque à l’</w:t>
      </w:r>
      <w:r w:rsidR="00BF3A7E" w:rsidRPr="005520FB">
        <w:t>ange:</w:t>
      </w:r>
    </w:p>
    <w:p w:rsidR="00BC2F12" w:rsidRPr="005520FB" w:rsidRDefault="00F80250">
      <w:pPr>
        <w:pStyle w:val="indent"/>
      </w:pPr>
      <w:r w:rsidRPr="005520FB">
        <w:rPr>
          <w:rStyle w:val="Emphasis"/>
        </w:rPr>
        <w:t>Comment saurai–je que cela est vrai ? Car je suis vieux et ma femme aussi est âgée.</w:t>
      </w:r>
      <w:r w:rsidRPr="005520FB">
        <w:rPr>
          <w:rStyle w:val="EndnoteReference"/>
        </w:rPr>
        <w:endnoteReference w:id="21"/>
      </w:r>
    </w:p>
    <w:p w:rsidR="00BC2F12" w:rsidRPr="005520FB" w:rsidRDefault="004C6B0A">
      <w:pPr>
        <w:pStyle w:val="NormalWeb"/>
      </w:pPr>
      <w:r w:rsidRPr="005520FB">
        <w:t>C</w:t>
      </w:r>
      <w:r w:rsidR="00326A02" w:rsidRPr="005520FB">
        <w:t xml:space="preserve">’est le signe </w:t>
      </w:r>
      <w:r w:rsidRPr="005520FB">
        <w:t xml:space="preserve">que </w:t>
      </w:r>
      <w:r w:rsidR="00BF3A7E" w:rsidRPr="005520FB">
        <w:t>Z</w:t>
      </w:r>
      <w:r w:rsidRPr="005520FB">
        <w:t>a</w:t>
      </w:r>
      <w:r w:rsidR="00BF3A7E" w:rsidRPr="005520FB">
        <w:t>chari</w:t>
      </w:r>
      <w:r w:rsidRPr="005520FB">
        <w:t xml:space="preserve">e a des doutes; sur quoi, </w:t>
      </w:r>
      <w:r w:rsidR="007A00D2" w:rsidRPr="005520FB">
        <w:t>l’ange répond</w:t>
      </w:r>
      <w:r w:rsidR="00BF3A7E" w:rsidRPr="005520FB">
        <w:t>:</w:t>
      </w:r>
    </w:p>
    <w:p w:rsidR="00BC2F12" w:rsidRPr="005520FB" w:rsidRDefault="007A00D2" w:rsidP="007A00D2">
      <w:pPr>
        <w:pStyle w:val="indent"/>
      </w:pPr>
      <w:r w:rsidRPr="005520FB">
        <w:rPr>
          <w:rStyle w:val="Emphasis"/>
        </w:rPr>
        <w:t> Je suis Gabriel. Je me tiens devant Dieu, qui m'a envoyé pour te parler et t'annoncer cette nouvelle. Alors, voici : tu vas devenir muet et tu resteras incapable de parler jusqu’au jour où ce que je viens de t’annoncer se réalisera ; il en sera ainsi parce que tu n’as pas cru à mes paroles, qui s’accompliront au temps prévu</w:t>
      </w:r>
      <w:r w:rsidR="00BF3A7E" w:rsidRPr="005520FB">
        <w:rPr>
          <w:rStyle w:val="Emphasis"/>
        </w:rPr>
        <w:t>.</w:t>
      </w:r>
      <w:r w:rsidRPr="005520FB">
        <w:rPr>
          <w:rStyle w:val="EndnoteReference"/>
        </w:rPr>
        <w:endnoteReference w:id="22"/>
      </w:r>
    </w:p>
    <w:p w:rsidR="00BC2F12" w:rsidRPr="005520FB" w:rsidRDefault="009D5BF0">
      <w:pPr>
        <w:pStyle w:val="NormalWeb"/>
      </w:pPr>
      <w:r w:rsidRPr="005520FB">
        <w:t xml:space="preserve">En signe de confirmation, </w:t>
      </w:r>
      <w:r w:rsidR="00BF3A7E" w:rsidRPr="005520FB">
        <w:t>Gabriel d</w:t>
      </w:r>
      <w:r w:rsidRPr="005520FB">
        <w:t xml:space="preserve">éclare que </w:t>
      </w:r>
      <w:r w:rsidR="00BF3A7E" w:rsidRPr="005520FB">
        <w:t>Z</w:t>
      </w:r>
      <w:r w:rsidRPr="005520FB">
        <w:t>a</w:t>
      </w:r>
      <w:r w:rsidR="00BF3A7E" w:rsidRPr="005520FB">
        <w:t>chari</w:t>
      </w:r>
      <w:r w:rsidRPr="005520FB">
        <w:t>e restera muet</w:t>
      </w:r>
      <w:r w:rsidR="00BF3A7E" w:rsidRPr="005520FB">
        <w:t xml:space="preserve">, </w:t>
      </w:r>
      <w:r w:rsidRPr="005520FB">
        <w:t xml:space="preserve">et </w:t>
      </w:r>
      <w:r w:rsidR="00664C42" w:rsidRPr="005520FB">
        <w:t xml:space="preserve">sans doute </w:t>
      </w:r>
      <w:r w:rsidRPr="005520FB">
        <w:t xml:space="preserve">sourd </w:t>
      </w:r>
      <w:r w:rsidR="00664C42" w:rsidRPr="005520FB">
        <w:t xml:space="preserve">également </w:t>
      </w:r>
      <w:r w:rsidR="00664C42" w:rsidRPr="005520FB">
        <w:rPr>
          <w:rStyle w:val="EndnoteReference"/>
        </w:rPr>
        <w:endnoteReference w:id="23"/>
      </w:r>
      <w:r w:rsidRPr="005520FB">
        <w:t>, jusqu’à ce que tout ce qui lui a été annoncé s’accomplisse.</w:t>
      </w:r>
      <w:r w:rsidR="00F74B84" w:rsidRPr="005520FB">
        <w:rPr>
          <w:rStyle w:val="EndnoteReference"/>
        </w:rPr>
        <w:endnoteReference w:id="24"/>
      </w:r>
    </w:p>
    <w:p w:rsidR="00BC2F12" w:rsidRPr="005520FB" w:rsidRDefault="009A6698">
      <w:pPr>
        <w:pStyle w:val="NormalWeb"/>
      </w:pPr>
      <w:r w:rsidRPr="005520FB">
        <w:t xml:space="preserve">Tout au long de l’Ancien </w:t>
      </w:r>
      <w:r w:rsidR="00BF3A7E" w:rsidRPr="005520FB">
        <w:t>Testament</w:t>
      </w:r>
      <w:r w:rsidRPr="005520FB">
        <w:t>, nous voyons Dieu donner des signes à son peuple</w:t>
      </w:r>
      <w:r w:rsidR="00BF3A7E" w:rsidRPr="005520FB">
        <w:t xml:space="preserve">, </w:t>
      </w:r>
      <w:r w:rsidR="00F74B84" w:rsidRPr="005520FB">
        <w:t xml:space="preserve">comme ce fut le </w:t>
      </w:r>
      <w:r w:rsidR="00BF3A7E" w:rsidRPr="005520FB">
        <w:t>cas</w:t>
      </w:r>
      <w:r w:rsidR="00F74B84" w:rsidRPr="005520FB">
        <w:t xml:space="preserve"> pour A</w:t>
      </w:r>
      <w:r w:rsidR="00BF3A7E" w:rsidRPr="005520FB">
        <w:t>braham</w:t>
      </w:r>
      <w:bookmarkStart w:id="5" w:name="_ftnref25"/>
      <w:r w:rsidR="00F74B84" w:rsidRPr="005520FB">
        <w:rPr>
          <w:rStyle w:val="EndnoteReference"/>
        </w:rPr>
        <w:endnoteReference w:id="25"/>
      </w:r>
      <w:r w:rsidR="00F74B84" w:rsidRPr="005520FB">
        <w:t>,</w:t>
      </w:r>
      <w:bookmarkEnd w:id="5"/>
      <w:r w:rsidR="00BF3A7E" w:rsidRPr="005520FB">
        <w:t xml:space="preserve"> Mo</w:t>
      </w:r>
      <w:r w:rsidR="00F74B84" w:rsidRPr="005520FB">
        <w:t>ïse</w:t>
      </w:r>
      <w:r w:rsidR="00F74B84" w:rsidRPr="005520FB">
        <w:rPr>
          <w:rStyle w:val="EndnoteReference"/>
        </w:rPr>
        <w:endnoteReference w:id="26"/>
      </w:r>
      <w:r w:rsidR="00BF3A7E" w:rsidRPr="005520FB">
        <w:t>, G</w:t>
      </w:r>
      <w:r w:rsidR="00F74B84" w:rsidRPr="005520FB">
        <w:t>é</w:t>
      </w:r>
      <w:r w:rsidR="00BF3A7E" w:rsidRPr="005520FB">
        <w:t>d</w:t>
      </w:r>
      <w:r w:rsidR="00F74B84" w:rsidRPr="005520FB">
        <w:t>é</w:t>
      </w:r>
      <w:r w:rsidR="00BF3A7E" w:rsidRPr="005520FB">
        <w:t>on</w:t>
      </w:r>
      <w:r w:rsidR="00F74B84" w:rsidRPr="005520FB">
        <w:rPr>
          <w:rStyle w:val="EndnoteReference"/>
        </w:rPr>
        <w:endnoteReference w:id="27"/>
      </w:r>
      <w:r w:rsidR="00BF3A7E" w:rsidRPr="005520FB">
        <w:t xml:space="preserve">, </w:t>
      </w:r>
      <w:r w:rsidR="00F74B84" w:rsidRPr="005520FB">
        <w:t>Ezéchias</w:t>
      </w:r>
      <w:r w:rsidR="00F74B84" w:rsidRPr="005520FB">
        <w:rPr>
          <w:rStyle w:val="EndnoteReference"/>
        </w:rPr>
        <w:endnoteReference w:id="28"/>
      </w:r>
      <w:r w:rsidR="00BF3A7E" w:rsidRPr="005520FB">
        <w:t xml:space="preserve"> </w:t>
      </w:r>
      <w:r w:rsidR="00F74B84" w:rsidRPr="005520FB">
        <w:t>et A</w:t>
      </w:r>
      <w:r w:rsidR="00BF3A7E" w:rsidRPr="005520FB">
        <w:t>haz.</w:t>
      </w:r>
      <w:bookmarkStart w:id="6" w:name="_ftnref29"/>
      <w:r w:rsidR="00F74B84" w:rsidRPr="005520FB">
        <w:rPr>
          <w:rStyle w:val="EndnoteReference"/>
        </w:rPr>
        <w:endnoteReference w:id="29"/>
      </w:r>
      <w:bookmarkEnd w:id="6"/>
      <w:r w:rsidR="00BF3A7E" w:rsidRPr="005520FB">
        <w:t xml:space="preserve"> </w:t>
      </w:r>
      <w:r w:rsidR="005D5056" w:rsidRPr="005520FB">
        <w:t>Comme pour les signes dans l’Ancien T</w:t>
      </w:r>
      <w:r w:rsidR="00BF3A7E" w:rsidRPr="005520FB">
        <w:t>estament</w:t>
      </w:r>
      <w:r w:rsidR="005D5056" w:rsidRPr="005520FB">
        <w:t xml:space="preserve">, le signe donné à </w:t>
      </w:r>
      <w:r w:rsidR="00BF3A7E" w:rsidRPr="005520FB">
        <w:t>Z</w:t>
      </w:r>
      <w:r w:rsidR="005D5056" w:rsidRPr="005520FB">
        <w:t>a</w:t>
      </w:r>
      <w:r w:rsidR="00BF3A7E" w:rsidRPr="005520FB">
        <w:t>chari</w:t>
      </w:r>
      <w:r w:rsidR="005D5056" w:rsidRPr="005520FB">
        <w:t>e garantit que la promesse de Dieu s’accomplira mais</w:t>
      </w:r>
      <w:r w:rsidR="00AD3D32" w:rsidRPr="005520FB">
        <w:t>,</w:t>
      </w:r>
      <w:r w:rsidR="005D5056" w:rsidRPr="005520FB">
        <w:t xml:space="preserve"> dans ce cas précis</w:t>
      </w:r>
      <w:r w:rsidR="00AD3D32" w:rsidRPr="005520FB">
        <w:t>,</w:t>
      </w:r>
      <w:r w:rsidR="005D5056" w:rsidRPr="005520FB">
        <w:t xml:space="preserve"> c’est aussi pour le punir de son incrédulité. Dans l’</w:t>
      </w:r>
      <w:r w:rsidR="0089745A" w:rsidRPr="005520FB">
        <w:t>Évangile</w:t>
      </w:r>
      <w:r w:rsidR="005D5056" w:rsidRPr="005520FB">
        <w:t xml:space="preserve"> de Luc, Dieu donne des signes de sa propre initiative, </w:t>
      </w:r>
      <w:bookmarkStart w:id="7" w:name="_ftnref30"/>
      <w:r w:rsidR="00F74B84" w:rsidRPr="005520FB">
        <w:rPr>
          <w:rStyle w:val="EndnoteReference"/>
        </w:rPr>
        <w:endnoteReference w:id="30"/>
      </w:r>
      <w:bookmarkEnd w:id="7"/>
      <w:r w:rsidR="00BF3A7E" w:rsidRPr="005520FB">
        <w:t xml:space="preserve"> </w:t>
      </w:r>
      <w:r w:rsidR="005D5056" w:rsidRPr="005520FB">
        <w:t>mais Il ne voit pas favorablement les demandes de signes.</w:t>
      </w:r>
      <w:bookmarkStart w:id="8" w:name="_ftnref31"/>
      <w:r w:rsidR="00F74B84" w:rsidRPr="005520FB">
        <w:rPr>
          <w:rStyle w:val="EndnoteReference"/>
        </w:rPr>
        <w:endnoteReference w:id="31"/>
      </w:r>
      <w:bookmarkEnd w:id="8"/>
      <w:r w:rsidR="00BF3A7E" w:rsidRPr="005520FB">
        <w:t xml:space="preserve"> </w:t>
      </w:r>
      <w:bookmarkStart w:id="9" w:name="_ftnref32"/>
      <w:r w:rsidR="00F74B84" w:rsidRPr="005520FB">
        <w:rPr>
          <w:rStyle w:val="EndnoteReference"/>
        </w:rPr>
        <w:endnoteReference w:id="32"/>
      </w:r>
      <w:bookmarkEnd w:id="9"/>
    </w:p>
    <w:p w:rsidR="004D21DA" w:rsidRPr="005520FB" w:rsidRDefault="00BF3A7E">
      <w:pPr>
        <w:pStyle w:val="NormalWeb"/>
      </w:pPr>
      <w:r w:rsidRPr="005520FB">
        <w:t>A</w:t>
      </w:r>
      <w:r w:rsidR="00670CBD" w:rsidRPr="005520FB">
        <w:t xml:space="preserve"> la fin de sa période de service d</w:t>
      </w:r>
      <w:r w:rsidR="00E6015E" w:rsidRPr="005520FB">
        <w:t>ans le</w:t>
      </w:r>
      <w:r w:rsidR="00670CBD" w:rsidRPr="005520FB">
        <w:t xml:space="preserve"> temple, </w:t>
      </w:r>
      <w:r w:rsidRPr="005520FB">
        <w:t>Z</w:t>
      </w:r>
      <w:r w:rsidR="00670CBD" w:rsidRPr="005520FB">
        <w:t>a</w:t>
      </w:r>
      <w:r w:rsidRPr="005520FB">
        <w:t>chari</w:t>
      </w:r>
      <w:r w:rsidR="00670CBD" w:rsidRPr="005520FB">
        <w:t>e</w:t>
      </w:r>
      <w:r w:rsidRPr="005520FB">
        <w:t xml:space="preserve"> </w:t>
      </w:r>
      <w:r w:rsidR="00670CBD" w:rsidRPr="005520FB">
        <w:t>rentre chez lui et</w:t>
      </w:r>
      <w:r w:rsidR="00E6015E" w:rsidRPr="005520FB">
        <w:t>,</w:t>
      </w:r>
      <w:r w:rsidR="00670CBD" w:rsidRPr="005520FB">
        <w:t xml:space="preserve"> peu de temps après</w:t>
      </w:r>
      <w:r w:rsidR="00E6015E" w:rsidRPr="005520FB">
        <w:t>,</w:t>
      </w:r>
      <w:r w:rsidR="00670CBD" w:rsidRPr="005520FB">
        <w:t xml:space="preserve"> nous apprenons que sa femme</w:t>
      </w:r>
      <w:r w:rsidR="00E6015E" w:rsidRPr="005520FB">
        <w:t>,</w:t>
      </w:r>
      <w:r w:rsidR="00670CBD" w:rsidRPr="005520FB">
        <w:t xml:space="preserve"> </w:t>
      </w:r>
      <w:r w:rsidR="0089745A" w:rsidRPr="005520FB">
        <w:t>Élisabeth</w:t>
      </w:r>
      <w:r w:rsidR="00E6015E" w:rsidRPr="005520FB">
        <w:t>,</w:t>
      </w:r>
      <w:r w:rsidR="00670CBD" w:rsidRPr="005520FB">
        <w:t xml:space="preserve"> est enceinte – comme l’avait annoncé l’ange Gabriel. </w:t>
      </w:r>
      <w:r w:rsidR="004D21DA" w:rsidRPr="005520FB">
        <w:t>Quand elle se rend compte qu’el</w:t>
      </w:r>
      <w:r w:rsidR="00486D50" w:rsidRPr="005520FB">
        <w:t>l</w:t>
      </w:r>
      <w:r w:rsidR="004D21DA" w:rsidRPr="005520FB">
        <w:t xml:space="preserve">e est enceinte, </w:t>
      </w:r>
      <w:r w:rsidR="0089745A" w:rsidRPr="005520FB">
        <w:t>Élisabeth</w:t>
      </w:r>
      <w:r w:rsidRPr="005520FB">
        <w:t xml:space="preserve"> r</w:t>
      </w:r>
      <w:r w:rsidR="004D21DA" w:rsidRPr="005520FB">
        <w:t>éagit en exprimant sa gratitude par des louanges : « </w:t>
      </w:r>
      <w:r w:rsidR="00F20F64" w:rsidRPr="005520FB">
        <w:rPr>
          <w:rStyle w:val="Emphasis"/>
        </w:rPr>
        <w:t>C'est l'œuvre du Seigneur ! Il a jeté maintenant un regard favorable sur moi, et effacé ce qui faisait ma honte aux yeux de tous</w:t>
      </w:r>
      <w:r w:rsidRPr="005520FB">
        <w:rPr>
          <w:rStyle w:val="Emphasis"/>
        </w:rPr>
        <w:t>.</w:t>
      </w:r>
      <w:r w:rsidR="004D21DA" w:rsidRPr="005520FB">
        <w:rPr>
          <w:rStyle w:val="Emphasis"/>
        </w:rPr>
        <w:t> »</w:t>
      </w:r>
      <w:r w:rsidR="00F20F64" w:rsidRPr="005520FB">
        <w:rPr>
          <w:rStyle w:val="EndnoteReference"/>
        </w:rPr>
        <w:endnoteReference w:id="33"/>
      </w:r>
      <w:r w:rsidRPr="005520FB">
        <w:t xml:space="preserve"> </w:t>
      </w:r>
      <w:r w:rsidR="004D21DA" w:rsidRPr="005520FB">
        <w:t xml:space="preserve">On imagine </w:t>
      </w:r>
      <w:r w:rsidR="00D84C20" w:rsidRPr="005520FB">
        <w:t xml:space="preserve">aisément </w:t>
      </w:r>
      <w:r w:rsidR="004D21DA" w:rsidRPr="005520FB">
        <w:t xml:space="preserve">la joie qu’elle a </w:t>
      </w:r>
      <w:r w:rsidR="00D84C20" w:rsidRPr="005520FB">
        <w:t>dû éprouver</w:t>
      </w:r>
      <w:r w:rsidR="004D21DA" w:rsidRPr="005520FB">
        <w:t xml:space="preserve"> à ce moment-là. </w:t>
      </w:r>
    </w:p>
    <w:p w:rsidR="00BC2F12" w:rsidRPr="005520FB" w:rsidRDefault="001F67E3">
      <w:pPr>
        <w:pStyle w:val="NormalWeb"/>
      </w:pPr>
      <w:r w:rsidRPr="005520FB">
        <w:t>On nous précise qu’</w:t>
      </w:r>
      <w:r w:rsidR="0089745A" w:rsidRPr="005520FB">
        <w:t>Élisabeth</w:t>
      </w:r>
      <w:r w:rsidR="00BF3A7E" w:rsidRPr="005520FB">
        <w:t xml:space="preserve"> </w:t>
      </w:r>
      <w:r w:rsidRPr="005520FB">
        <w:t xml:space="preserve">resta confinée chez elle pendant cinq mois. </w:t>
      </w:r>
      <w:r w:rsidR="008E16B5" w:rsidRPr="005520FB">
        <w:t xml:space="preserve">Aucune explication ne nous est fournie, </w:t>
      </w:r>
      <w:r w:rsidR="006D1D6B" w:rsidRPr="005520FB">
        <w:t xml:space="preserve">mais il est possible qu’elle soit restée confinée chez elle jusqu’à ce que sa grossesse soit évidente, afin d’éviter cinq mois supplémentaires de la honte </w:t>
      </w:r>
      <w:r w:rsidR="0002769D" w:rsidRPr="005520FB">
        <w:t xml:space="preserve">qu’elle avait </w:t>
      </w:r>
      <w:r w:rsidR="008E16B5" w:rsidRPr="005520FB">
        <w:t xml:space="preserve">eu </w:t>
      </w:r>
      <w:r w:rsidR="0002769D" w:rsidRPr="005520FB">
        <w:t xml:space="preserve">l’habitude de </w:t>
      </w:r>
      <w:r w:rsidR="00F758C1">
        <w:t>porter</w:t>
      </w:r>
      <w:r w:rsidR="0002769D" w:rsidRPr="005520FB">
        <w:t xml:space="preserve"> </w:t>
      </w:r>
      <w:r w:rsidR="006D1D6B" w:rsidRPr="005520FB">
        <w:t xml:space="preserve">pendant toute sa vie de femme mariée. Au bout de cinq mois, </w:t>
      </w:r>
      <w:r w:rsidR="0002769D" w:rsidRPr="005520FB">
        <w:t xml:space="preserve">tout le monde </w:t>
      </w:r>
      <w:r w:rsidR="00F758C1">
        <w:t>a surement remarqué s</w:t>
      </w:r>
      <w:r w:rsidR="0002769D" w:rsidRPr="005520FB">
        <w:t xml:space="preserve">on état et a compris que Dieu avait jeté </w:t>
      </w:r>
      <w:r w:rsidR="00A3182E">
        <w:t xml:space="preserve">sur elle </w:t>
      </w:r>
      <w:r w:rsidR="0002769D" w:rsidRPr="005520FB">
        <w:t>un regard favorable</w:t>
      </w:r>
      <w:r w:rsidR="00BF3A7E" w:rsidRPr="005520FB">
        <w:t>.</w:t>
      </w:r>
      <w:r w:rsidR="000E38B9" w:rsidRPr="005520FB">
        <w:rPr>
          <w:rStyle w:val="EndnoteReference"/>
        </w:rPr>
        <w:endnoteReference w:id="34"/>
      </w:r>
    </w:p>
    <w:p w:rsidR="00BC2F12" w:rsidRPr="005520FB" w:rsidRDefault="003E2655">
      <w:pPr>
        <w:pStyle w:val="NormalWeb"/>
      </w:pPr>
      <w:r w:rsidRPr="005520FB">
        <w:t xml:space="preserve">Puis le récit nous </w:t>
      </w:r>
      <w:r w:rsidR="00B32567" w:rsidRPr="005520FB">
        <w:t xml:space="preserve">transporte </w:t>
      </w:r>
      <w:r w:rsidRPr="005520FB">
        <w:t xml:space="preserve">six mois après la visite de l’ange Gabriel à </w:t>
      </w:r>
      <w:r w:rsidR="00BF3A7E" w:rsidRPr="005520FB">
        <w:t>Z</w:t>
      </w:r>
      <w:r w:rsidRPr="005520FB">
        <w:t>a</w:t>
      </w:r>
      <w:r w:rsidR="00BF3A7E" w:rsidRPr="005520FB">
        <w:t>chari</w:t>
      </w:r>
      <w:r w:rsidRPr="005520FB">
        <w:t>e</w:t>
      </w:r>
      <w:r w:rsidR="00BF3A7E" w:rsidRPr="005520FB">
        <w:t xml:space="preserve">. Gabriel </w:t>
      </w:r>
      <w:r w:rsidR="002F320C" w:rsidRPr="005520FB">
        <w:t xml:space="preserve">est </w:t>
      </w:r>
      <w:r w:rsidR="002B7359" w:rsidRPr="005520FB">
        <w:t xml:space="preserve">alors </w:t>
      </w:r>
      <w:r w:rsidR="002F320C" w:rsidRPr="005520FB">
        <w:t>envoyé en mission dans le village de Nazareth</w:t>
      </w:r>
      <w:r w:rsidR="002B7359" w:rsidRPr="005520FB">
        <w:t>,</w:t>
      </w:r>
      <w:r w:rsidR="002F320C" w:rsidRPr="005520FB">
        <w:t xml:space="preserve"> situé </w:t>
      </w:r>
      <w:r w:rsidR="002B7359" w:rsidRPr="005520FB">
        <w:t xml:space="preserve">dans </w:t>
      </w:r>
      <w:r w:rsidR="002F320C" w:rsidRPr="005520FB">
        <w:t xml:space="preserve">la région de Galilée, au Nord de la Judée, pour </w:t>
      </w:r>
      <w:r w:rsidR="00AF57CE">
        <w:t>apprendre</w:t>
      </w:r>
      <w:r w:rsidR="002F320C" w:rsidRPr="005520FB">
        <w:t xml:space="preserve"> à Marie qu’elle va devenir la mère du Messie. </w:t>
      </w:r>
    </w:p>
    <w:p w:rsidR="00BC2F12" w:rsidRPr="005520FB" w:rsidRDefault="000E38B9" w:rsidP="000E38B9">
      <w:pPr>
        <w:pStyle w:val="NormalWeb"/>
      </w:pPr>
      <w:r w:rsidRPr="005520FB">
        <w:t xml:space="preserve">L’ange </w:t>
      </w:r>
      <w:r w:rsidR="00AF57CE">
        <w:t>annonce</w:t>
      </w:r>
      <w:r w:rsidRPr="005520FB">
        <w:t xml:space="preserve"> à </w:t>
      </w:r>
      <w:r w:rsidR="00BF3A7E" w:rsidRPr="005520FB">
        <w:t>Mar</w:t>
      </w:r>
      <w:r w:rsidRPr="005520FB">
        <w:t xml:space="preserve">ie que son fils </w:t>
      </w:r>
      <w:r w:rsidRPr="005520FB">
        <w:rPr>
          <w:rStyle w:val="Emphasis"/>
        </w:rPr>
        <w:t xml:space="preserve">sera grand. Il sera appelé « Fils du Très–Haut », et le Seigneur Dieu </w:t>
      </w:r>
      <w:r w:rsidR="0098011A" w:rsidRPr="005520FB">
        <w:rPr>
          <w:rStyle w:val="Emphasis"/>
        </w:rPr>
        <w:t>L</w:t>
      </w:r>
      <w:r w:rsidRPr="005520FB">
        <w:rPr>
          <w:rStyle w:val="Emphasis"/>
        </w:rPr>
        <w:t>ui donnera le trône de David, son ancêtre. Il régnera éternellement sur le peuple issu de Jacob, et son règne n’aura pas de fin.</w:t>
      </w:r>
      <w:r w:rsidRPr="005520FB">
        <w:rPr>
          <w:rStyle w:val="EndnoteReference"/>
        </w:rPr>
        <w:endnoteReference w:id="35"/>
      </w:r>
      <w:r w:rsidR="00BF3A7E" w:rsidRPr="005520FB">
        <w:t xml:space="preserve"> </w:t>
      </w:r>
      <w:r w:rsidR="00C80BEC" w:rsidRPr="005520FB">
        <w:t>Il est probable que Marie ait déduit de ces informations et de l’emploi du titre Fils du Très–Haut que son fils deviendrait le roi d’Israël.</w:t>
      </w:r>
      <w:r w:rsidR="009A6D28" w:rsidRPr="005520FB">
        <w:rPr>
          <w:rStyle w:val="EndnoteReference"/>
        </w:rPr>
        <w:endnoteReference w:id="36"/>
      </w:r>
      <w:r w:rsidR="00BF3A7E" w:rsidRPr="005520FB">
        <w:t xml:space="preserve"> A</w:t>
      </w:r>
      <w:r w:rsidR="007B11F3" w:rsidRPr="005520FB">
        <w:t xml:space="preserve">u fur et à mesure du déroulement de sa vie, il apparait de plus en plus clairement que son rôle sera très différent de ce que l’on pourrait attendre du Messie des </w:t>
      </w:r>
      <w:r w:rsidR="0098011A" w:rsidRPr="005520FB">
        <w:t>J</w:t>
      </w:r>
      <w:r w:rsidR="007B11F3" w:rsidRPr="005520FB">
        <w:t>uifs</w:t>
      </w:r>
      <w:r w:rsidR="00BF3A7E" w:rsidRPr="005520FB">
        <w:t xml:space="preserve">. </w:t>
      </w:r>
      <w:r w:rsidR="00210AD1" w:rsidRPr="005520FB">
        <w:t>Nous découvrons qu’Il est en fait le Fils de Dieu</w:t>
      </w:r>
      <w:r w:rsidR="00BF3A7E" w:rsidRPr="005520FB">
        <w:t>.</w:t>
      </w:r>
    </w:p>
    <w:p w:rsidR="00BC2F12" w:rsidRPr="005520FB" w:rsidRDefault="00A73C6D" w:rsidP="009002BA">
      <w:pPr>
        <w:pStyle w:val="NormalWeb"/>
      </w:pPr>
      <w:r>
        <w:t xml:space="preserve">Comme </w:t>
      </w:r>
      <w:r w:rsidR="005D68EA" w:rsidRPr="005520FB">
        <w:t>la réponse de Marie à l’annonce de</w:t>
      </w:r>
      <w:r w:rsidR="00BB00CD" w:rsidRPr="005520FB">
        <w:t xml:space="preserve"> </w:t>
      </w:r>
      <w:r w:rsidR="005D68EA" w:rsidRPr="005520FB">
        <w:t xml:space="preserve">l’ange Gabriel </w:t>
      </w:r>
      <w:r>
        <w:t xml:space="preserve">a </w:t>
      </w:r>
      <w:r w:rsidR="005D68EA" w:rsidRPr="005520FB">
        <w:t xml:space="preserve">déjà été </w:t>
      </w:r>
      <w:r w:rsidR="00BF3A7E" w:rsidRPr="005520FB">
        <w:t>comment</w:t>
      </w:r>
      <w:r w:rsidR="005D68EA" w:rsidRPr="005520FB">
        <w:t>é</w:t>
      </w:r>
      <w:r>
        <w:t>e</w:t>
      </w:r>
      <w:r w:rsidR="00BB00CD" w:rsidRPr="005520FB">
        <w:t xml:space="preserve"> </w:t>
      </w:r>
      <w:r w:rsidR="005D68EA" w:rsidRPr="005520FB">
        <w:t xml:space="preserve">dans l’article précédent, nous allons maintenant passer à  la visite de Marie à </w:t>
      </w:r>
      <w:r w:rsidR="00BB00CD" w:rsidRPr="005520FB">
        <w:t>s</w:t>
      </w:r>
      <w:r w:rsidR="005D68EA" w:rsidRPr="005520FB">
        <w:t xml:space="preserve">a cousine </w:t>
      </w:r>
      <w:r w:rsidR="0089745A" w:rsidRPr="005520FB">
        <w:t>Élisabeth</w:t>
      </w:r>
      <w:r w:rsidR="00BF3A7E" w:rsidRPr="005520FB">
        <w:t xml:space="preserve">. </w:t>
      </w:r>
      <w:r w:rsidR="00ED1061" w:rsidRPr="005520FB">
        <w:t>Peu de temps après la visite de Gabriel, et après avoir accepté de devenir miraculeusement la mère d</w:t>
      </w:r>
      <w:r w:rsidR="00BB00CD" w:rsidRPr="005520FB">
        <w:t>u</w:t>
      </w:r>
      <w:r w:rsidR="00ED1061" w:rsidRPr="005520FB">
        <w:t xml:space="preserve"> Sauveur, on nous dit q</w:t>
      </w:r>
      <w:r w:rsidR="009002BA" w:rsidRPr="005520FB">
        <w:t>ue</w:t>
      </w:r>
      <w:r w:rsidR="00BF3A7E" w:rsidRPr="005520FB">
        <w:t xml:space="preserve"> </w:t>
      </w:r>
      <w:r w:rsidR="009002BA" w:rsidRPr="005520FB">
        <w:rPr>
          <w:rStyle w:val="Emphasis"/>
        </w:rPr>
        <w:t xml:space="preserve">Marie partit pour se rendre en hâte dans une ville de montagne du territoire de Judée. Elle entra chez Zacharie et salua </w:t>
      </w:r>
      <w:r w:rsidR="0089745A" w:rsidRPr="005520FB">
        <w:rPr>
          <w:rStyle w:val="Emphasis"/>
        </w:rPr>
        <w:t>Élisabeth</w:t>
      </w:r>
      <w:r w:rsidR="00BF3A7E" w:rsidRPr="005520FB">
        <w:t>.</w:t>
      </w:r>
      <w:r w:rsidR="009002BA" w:rsidRPr="005520FB">
        <w:rPr>
          <w:rStyle w:val="EndnoteReference"/>
        </w:rPr>
        <w:endnoteReference w:id="37"/>
      </w:r>
    </w:p>
    <w:p w:rsidR="00BC2F12" w:rsidRPr="005520FB" w:rsidRDefault="00BF3A7E">
      <w:pPr>
        <w:pStyle w:val="NormalWeb"/>
      </w:pPr>
      <w:r w:rsidRPr="005520FB">
        <w:t xml:space="preserve">Nazareth </w:t>
      </w:r>
      <w:r w:rsidR="006D696D" w:rsidRPr="005520FB">
        <w:t xml:space="preserve">est une ville de la </w:t>
      </w:r>
      <w:r w:rsidRPr="005520FB">
        <w:t>Galil</w:t>
      </w:r>
      <w:r w:rsidR="006D696D" w:rsidRPr="005520FB">
        <w:t>é</w:t>
      </w:r>
      <w:r w:rsidRPr="005520FB">
        <w:t xml:space="preserve">e, </w:t>
      </w:r>
      <w:r w:rsidR="006D696D" w:rsidRPr="005520FB">
        <w:t>située à environ 110 kilomètres au nord de Jérusalem</w:t>
      </w:r>
      <w:r w:rsidR="009F55EC" w:rsidRPr="005520FB">
        <w:t>,</w:t>
      </w:r>
      <w:r w:rsidR="006D696D" w:rsidRPr="005520FB">
        <w:t xml:space="preserve"> qui est en Judée. Il est intéressant de noter que l’ange est apparu à Za</w:t>
      </w:r>
      <w:r w:rsidRPr="005520FB">
        <w:t>chari</w:t>
      </w:r>
      <w:r w:rsidR="006D696D" w:rsidRPr="005520FB">
        <w:t>e dans l</w:t>
      </w:r>
      <w:r w:rsidRPr="005520FB">
        <w:t>e temple</w:t>
      </w:r>
      <w:r w:rsidR="009F55EC" w:rsidRPr="005520FB">
        <w:t>,</w:t>
      </w:r>
      <w:r w:rsidRPr="005520FB">
        <w:t xml:space="preserve"> </w:t>
      </w:r>
      <w:r w:rsidR="006D696D" w:rsidRPr="005520FB">
        <w:t xml:space="preserve">à </w:t>
      </w:r>
      <w:r w:rsidRPr="005520FB">
        <w:t>J</w:t>
      </w:r>
      <w:r w:rsidR="00EE1116" w:rsidRPr="005520FB">
        <w:t>é</w:t>
      </w:r>
      <w:r w:rsidRPr="005520FB">
        <w:t xml:space="preserve">rusalem, </w:t>
      </w:r>
      <w:r w:rsidR="006D696D" w:rsidRPr="005520FB">
        <w:t xml:space="preserve">dans le </w:t>
      </w:r>
      <w:r w:rsidR="009F55EC" w:rsidRPr="005520FB">
        <w:t>L</w:t>
      </w:r>
      <w:r w:rsidR="006D696D" w:rsidRPr="005520FB">
        <w:t xml:space="preserve">ieu </w:t>
      </w:r>
      <w:r w:rsidR="009F55EC" w:rsidRPr="005520FB">
        <w:t>S</w:t>
      </w:r>
      <w:r w:rsidR="006D696D" w:rsidRPr="005520FB">
        <w:t xml:space="preserve">aint situé tout près du </w:t>
      </w:r>
      <w:r w:rsidR="009F55EC" w:rsidRPr="005520FB">
        <w:t>S</w:t>
      </w:r>
      <w:r w:rsidR="006D696D" w:rsidRPr="005520FB">
        <w:t xml:space="preserve">aint des </w:t>
      </w:r>
      <w:r w:rsidR="009F55EC" w:rsidRPr="005520FB">
        <w:t>S</w:t>
      </w:r>
      <w:r w:rsidR="006D696D" w:rsidRPr="005520FB">
        <w:t>aints. En revanche</w:t>
      </w:r>
      <w:r w:rsidR="009F55EC" w:rsidRPr="005520FB">
        <w:t xml:space="preserve">, </w:t>
      </w:r>
      <w:r w:rsidR="006D696D" w:rsidRPr="005520FB">
        <w:t>il app</w:t>
      </w:r>
      <w:r w:rsidR="00414B18" w:rsidRPr="005520FB">
        <w:t>ar</w:t>
      </w:r>
      <w:r w:rsidR="006D696D" w:rsidRPr="005520FB">
        <w:t>aît à Marie à Na</w:t>
      </w:r>
      <w:r w:rsidR="00414B18" w:rsidRPr="005520FB">
        <w:t>z</w:t>
      </w:r>
      <w:r w:rsidR="006D696D" w:rsidRPr="005520FB">
        <w:t>areth</w:t>
      </w:r>
      <w:r w:rsidR="009F55EC" w:rsidRPr="005520FB">
        <w:t>,</w:t>
      </w:r>
      <w:r w:rsidR="006D696D" w:rsidRPr="005520FB">
        <w:t xml:space="preserve"> en Galilée, assez loin du centre de la foi juive</w:t>
      </w:r>
      <w:r w:rsidR="0089745A" w:rsidRPr="005520FB">
        <w:t xml:space="preserve">. </w:t>
      </w:r>
      <w:r w:rsidR="006D696D" w:rsidRPr="005520FB">
        <w:t xml:space="preserve">Dieu </w:t>
      </w:r>
      <w:r w:rsidR="00C30810">
        <w:t>ét</w:t>
      </w:r>
      <w:r w:rsidR="006D696D" w:rsidRPr="005520FB">
        <w:t xml:space="preserve">ait </w:t>
      </w:r>
      <w:r w:rsidR="00C30810">
        <w:t xml:space="preserve">en train de faire </w:t>
      </w:r>
      <w:r w:rsidR="006D696D" w:rsidRPr="005520FB">
        <w:t>quelque chose d’entièrement nouveau, et au fur et à mesure de la progression du récit de l’</w:t>
      </w:r>
      <w:r w:rsidR="0089745A" w:rsidRPr="005520FB">
        <w:t>Évangile</w:t>
      </w:r>
      <w:r w:rsidR="006D696D" w:rsidRPr="005520FB">
        <w:t>, nous allons voir</w:t>
      </w:r>
      <w:r w:rsidR="009F55EC" w:rsidRPr="005520FB">
        <w:t xml:space="preserve"> </w:t>
      </w:r>
      <w:r w:rsidR="006D696D" w:rsidRPr="005520FB">
        <w:t xml:space="preserve">que </w:t>
      </w:r>
      <w:r w:rsidR="00A74E74" w:rsidRPr="005520FB">
        <w:t xml:space="preserve">l’action va s’éloigner du temple </w:t>
      </w:r>
      <w:r w:rsidR="00F36485" w:rsidRPr="005520FB">
        <w:t xml:space="preserve">et </w:t>
      </w:r>
      <w:r w:rsidR="005B1095">
        <w:t>s</w:t>
      </w:r>
      <w:r w:rsidR="00BF1313" w:rsidRPr="005520FB">
        <w:t>e concentrer sur</w:t>
      </w:r>
      <w:r w:rsidR="00F36485" w:rsidRPr="005520FB">
        <w:t xml:space="preserve"> </w:t>
      </w:r>
      <w:r w:rsidR="00A74E74" w:rsidRPr="005520FB">
        <w:t xml:space="preserve">le Fils de Dieu. </w:t>
      </w:r>
      <w:r w:rsidR="00C272EB" w:rsidRPr="005520FB">
        <w:t xml:space="preserve">Comme l’explique </w:t>
      </w:r>
      <w:r w:rsidRPr="005520FB">
        <w:t xml:space="preserve">Brown </w:t>
      </w:r>
      <w:r w:rsidR="00C272EB" w:rsidRPr="005520FB">
        <w:t xml:space="preserve">: </w:t>
      </w:r>
    </w:p>
    <w:p w:rsidR="00BC2F12" w:rsidRPr="005520FB" w:rsidRDefault="00C272EB">
      <w:pPr>
        <w:pStyle w:val="indent"/>
      </w:pPr>
      <w:r w:rsidRPr="005520FB">
        <w:rPr>
          <w:rStyle w:val="Emphasis"/>
        </w:rPr>
        <w:t>Si l’a</w:t>
      </w:r>
      <w:r w:rsidR="0091181D" w:rsidRPr="005520FB">
        <w:rPr>
          <w:rStyle w:val="Emphasis"/>
        </w:rPr>
        <w:t xml:space="preserve">pparition de l’ange </w:t>
      </w:r>
      <w:r w:rsidRPr="005520FB">
        <w:rPr>
          <w:rStyle w:val="Emphasis"/>
        </w:rPr>
        <w:t xml:space="preserve">à </w:t>
      </w:r>
      <w:r w:rsidR="0091181D" w:rsidRPr="005520FB">
        <w:rPr>
          <w:rStyle w:val="Emphasis"/>
        </w:rPr>
        <w:t xml:space="preserve">un prêtre, en l’occurrence </w:t>
      </w:r>
      <w:r w:rsidRPr="005520FB">
        <w:rPr>
          <w:rStyle w:val="Emphasis"/>
        </w:rPr>
        <w:t>Za</w:t>
      </w:r>
      <w:r w:rsidR="00BF3A7E" w:rsidRPr="005520FB">
        <w:rPr>
          <w:rStyle w:val="Emphasis"/>
        </w:rPr>
        <w:t>chari</w:t>
      </w:r>
      <w:r w:rsidRPr="005520FB">
        <w:rPr>
          <w:rStyle w:val="Emphasis"/>
        </w:rPr>
        <w:t>e</w:t>
      </w:r>
      <w:r w:rsidR="00BF3A7E" w:rsidRPr="005520FB">
        <w:rPr>
          <w:rStyle w:val="Emphasis"/>
        </w:rPr>
        <w:t xml:space="preserve">, </w:t>
      </w:r>
      <w:r w:rsidR="0091181D" w:rsidRPr="005520FB">
        <w:rPr>
          <w:rStyle w:val="Emphasis"/>
        </w:rPr>
        <w:t xml:space="preserve">dans le temple de </w:t>
      </w:r>
      <w:r w:rsidR="00BF3A7E" w:rsidRPr="005520FB">
        <w:rPr>
          <w:rStyle w:val="Emphasis"/>
        </w:rPr>
        <w:t>J</w:t>
      </w:r>
      <w:r w:rsidR="0091181D" w:rsidRPr="005520FB">
        <w:rPr>
          <w:rStyle w:val="Emphasis"/>
        </w:rPr>
        <w:t>é</w:t>
      </w:r>
      <w:r w:rsidR="00BF3A7E" w:rsidRPr="005520FB">
        <w:rPr>
          <w:rStyle w:val="Emphasis"/>
        </w:rPr>
        <w:t>rusalem</w:t>
      </w:r>
      <w:r w:rsidR="00192254" w:rsidRPr="005520FB">
        <w:rPr>
          <w:rStyle w:val="Emphasis"/>
        </w:rPr>
        <w:t>,</w:t>
      </w:r>
      <w:r w:rsidR="00BF3A7E" w:rsidRPr="005520FB">
        <w:rPr>
          <w:rStyle w:val="Emphasis"/>
        </w:rPr>
        <w:t xml:space="preserve"> </w:t>
      </w:r>
      <w:r w:rsidR="0091181D" w:rsidRPr="005520FB">
        <w:rPr>
          <w:rStyle w:val="Emphasis"/>
        </w:rPr>
        <w:t xml:space="preserve">marque la continuité avec les institutions de l’Ancien </w:t>
      </w:r>
      <w:r w:rsidR="00BF3A7E" w:rsidRPr="005520FB">
        <w:rPr>
          <w:rStyle w:val="Emphasis"/>
        </w:rPr>
        <w:t xml:space="preserve">Testament, </w:t>
      </w:r>
      <w:r w:rsidR="0091181D" w:rsidRPr="005520FB">
        <w:rPr>
          <w:rStyle w:val="Emphasis"/>
        </w:rPr>
        <w:t>l’apparition de Gabriel à Marie, qui a lieu à Nazareth</w:t>
      </w:r>
      <w:r w:rsidR="00FA39C0">
        <w:rPr>
          <w:rStyle w:val="Emphasis"/>
        </w:rPr>
        <w:t xml:space="preserve">, – </w:t>
      </w:r>
      <w:r w:rsidR="0091181D" w:rsidRPr="005520FB">
        <w:rPr>
          <w:rStyle w:val="Emphasis"/>
        </w:rPr>
        <w:t>une ville à laquelle aucune attente de l’Ancien Testament</w:t>
      </w:r>
      <w:r w:rsidR="00FA39C0" w:rsidRPr="00FA39C0">
        <w:rPr>
          <w:rStyle w:val="Emphasis"/>
        </w:rPr>
        <w:t xml:space="preserve"> </w:t>
      </w:r>
      <w:r w:rsidR="00FA39C0" w:rsidRPr="005520FB">
        <w:rPr>
          <w:rStyle w:val="Emphasis"/>
        </w:rPr>
        <w:t>n’est liée</w:t>
      </w:r>
      <w:r w:rsidR="00FA39C0">
        <w:rPr>
          <w:rStyle w:val="Emphasis"/>
        </w:rPr>
        <w:t xml:space="preserve"> – </w:t>
      </w:r>
      <w:r w:rsidR="0091181D" w:rsidRPr="005520FB">
        <w:rPr>
          <w:rStyle w:val="Emphasis"/>
        </w:rPr>
        <w:t>signale le caractère entièrement nouveau de ce que Dieu est en train de faire</w:t>
      </w:r>
      <w:r w:rsidR="00BF3A7E" w:rsidRPr="005520FB">
        <w:rPr>
          <w:rStyle w:val="Emphasis"/>
        </w:rPr>
        <w:t>.</w:t>
      </w:r>
      <w:r w:rsidR="00D100F2" w:rsidRPr="005520FB">
        <w:rPr>
          <w:rStyle w:val="EndnoteReference"/>
        </w:rPr>
        <w:endnoteReference w:id="38"/>
      </w:r>
    </w:p>
    <w:p w:rsidR="00BC2F12" w:rsidRPr="005520FB" w:rsidRDefault="005A4E18" w:rsidP="00D100F2">
      <w:pPr>
        <w:pStyle w:val="NormalWeb"/>
      </w:pPr>
      <w:r w:rsidRPr="005520FB">
        <w:t xml:space="preserve">Dès son arrivée chez </w:t>
      </w:r>
      <w:r w:rsidR="0089745A" w:rsidRPr="005520FB">
        <w:t>Élisabeth</w:t>
      </w:r>
      <w:r w:rsidRPr="005520FB">
        <w:t>, Marie salue sa cousine</w:t>
      </w:r>
      <w:r w:rsidR="00BF3A7E" w:rsidRPr="005520FB">
        <w:t xml:space="preserve">; </w:t>
      </w:r>
      <w:r w:rsidR="00D100F2" w:rsidRPr="005520FB">
        <w:rPr>
          <w:rStyle w:val="Emphasis"/>
        </w:rPr>
        <w:t>au moment où celle–ci [</w:t>
      </w:r>
      <w:r w:rsidR="0089745A" w:rsidRPr="005520FB">
        <w:rPr>
          <w:rStyle w:val="Emphasis"/>
        </w:rPr>
        <w:t>Élisabeth</w:t>
      </w:r>
      <w:r w:rsidR="00D100F2" w:rsidRPr="005520FB">
        <w:rPr>
          <w:rStyle w:val="Emphasis"/>
        </w:rPr>
        <w:t>] entendit la salutation de Marie, elle sentit son enfant remuer en elle. Elle fut remplie du Saint–Esprit et s'écria d'une voix forte : « Tu es bénie plus que toutes les femmes et l'enfant que tu portes est béni. Comment ai–je mérité l'honneur que la mère de mon Seigneur vienne me voir ? Car, vois–tu, au moment même où je t'ai entendu me saluer, mon enfant a bondi de joie au dedans de moi. Tu es heureuse, toi qui as cru à l’accomplissement de ce que le Seigneur t’a annoncé. »</w:t>
      </w:r>
      <w:r w:rsidR="00D100F2" w:rsidRPr="005520FB">
        <w:rPr>
          <w:rStyle w:val="EndnoteReference"/>
        </w:rPr>
        <w:endnoteReference w:id="39"/>
      </w:r>
    </w:p>
    <w:p w:rsidR="00BC2F12" w:rsidRPr="005520FB" w:rsidRDefault="00BF3A7E">
      <w:pPr>
        <w:pStyle w:val="NormalWeb"/>
      </w:pPr>
      <w:r w:rsidRPr="005520FB">
        <w:t>Mar</w:t>
      </w:r>
      <w:r w:rsidR="005E2A11" w:rsidRPr="005520FB">
        <w:t xml:space="preserve">ie salue </w:t>
      </w:r>
      <w:r w:rsidR="0089745A" w:rsidRPr="005520FB">
        <w:t>Élisabeth</w:t>
      </w:r>
      <w:r w:rsidRPr="005520FB">
        <w:t xml:space="preserve"> </w:t>
      </w:r>
      <w:r w:rsidR="005E2A11" w:rsidRPr="005520FB">
        <w:t xml:space="preserve">comme le </w:t>
      </w:r>
      <w:r w:rsidR="00C73E62" w:rsidRPr="005520FB">
        <w:t xml:space="preserve">demande </w:t>
      </w:r>
      <w:r w:rsidR="005E2A11" w:rsidRPr="005520FB">
        <w:t>l</w:t>
      </w:r>
      <w:r w:rsidR="00C73E62" w:rsidRPr="005520FB">
        <w:t>’étiquette,</w:t>
      </w:r>
      <w:r w:rsidR="005E2A11" w:rsidRPr="005520FB">
        <w:t xml:space="preserve"> puisqu’</w:t>
      </w:r>
      <w:r w:rsidR="0089745A" w:rsidRPr="005520FB">
        <w:t>Élisabeth</w:t>
      </w:r>
      <w:r w:rsidRPr="005520FB">
        <w:t xml:space="preserve"> </w:t>
      </w:r>
      <w:r w:rsidR="005E2A11" w:rsidRPr="005520FB">
        <w:t>était son aînée, une descendante d’</w:t>
      </w:r>
      <w:r w:rsidRPr="005520FB">
        <w:t xml:space="preserve">Aaron, </w:t>
      </w:r>
      <w:r w:rsidR="005E2A11" w:rsidRPr="005520FB">
        <w:t xml:space="preserve">l’épouse d’un prêtre, et qu’elle avait été bénie de Dieu sous la forme d’une grossesse assistée divinement. Au moment où </w:t>
      </w:r>
      <w:r w:rsidR="0089745A" w:rsidRPr="005520FB">
        <w:t>Élisabeth</w:t>
      </w:r>
      <w:r w:rsidR="005E2A11" w:rsidRPr="005520FB">
        <w:t xml:space="preserve"> entend la salutation de Marie, son enfant se met à remuer dans son ventre,</w:t>
      </w:r>
      <w:r w:rsidR="006A4A1D" w:rsidRPr="005520FB">
        <w:t xml:space="preserve"> ce qui</w:t>
      </w:r>
      <w:r w:rsidR="005E2A11" w:rsidRPr="005520FB">
        <w:t xml:space="preserve"> l’incite, sous l’inspiration du Saint-Esprit, à bénir Marie et l’enfant qu’elle porte en elle</w:t>
      </w:r>
      <w:r w:rsidRPr="005520FB">
        <w:t xml:space="preserve">. </w:t>
      </w:r>
      <w:r w:rsidR="00C73E62" w:rsidRPr="005520FB">
        <w:t>Pour le lecteur de l’</w:t>
      </w:r>
      <w:r w:rsidR="0089745A" w:rsidRPr="005520FB">
        <w:t>Évangile</w:t>
      </w:r>
      <w:r w:rsidR="00C73E62" w:rsidRPr="005520FB">
        <w:t xml:space="preserve">, c’est la confirmation </w:t>
      </w:r>
      <w:r w:rsidR="006A4A1D" w:rsidRPr="005520FB">
        <w:t xml:space="preserve">de </w:t>
      </w:r>
      <w:r w:rsidR="00C73E62" w:rsidRPr="005520FB">
        <w:t xml:space="preserve">ce que l’ange a annoncé à Marie lorsqu’il lui est apparu : </w:t>
      </w:r>
      <w:r w:rsidRPr="005520FB">
        <w:t>Mar</w:t>
      </w:r>
      <w:r w:rsidR="00C73E62" w:rsidRPr="005520FB">
        <w:t xml:space="preserve">ie est bel et bien enceinte. </w:t>
      </w:r>
      <w:r w:rsidR="00E96963" w:rsidRPr="005520FB">
        <w:t>Alors qu’</w:t>
      </w:r>
      <w:r w:rsidR="0089745A" w:rsidRPr="005520FB">
        <w:t>Élisabeth</w:t>
      </w:r>
      <w:r w:rsidRPr="005520FB">
        <w:t xml:space="preserve"> </w:t>
      </w:r>
      <w:r w:rsidR="00E96963" w:rsidRPr="005520FB">
        <w:t>est</w:t>
      </w:r>
      <w:r w:rsidR="006A4A1D" w:rsidRPr="005520FB">
        <w:t>,</w:t>
      </w:r>
      <w:r w:rsidR="00E96963" w:rsidRPr="005520FB">
        <w:t xml:space="preserve"> d’un point de vie social</w:t>
      </w:r>
      <w:r w:rsidR="006A4A1D" w:rsidRPr="005520FB">
        <w:t>,</w:t>
      </w:r>
      <w:r w:rsidR="00E96963" w:rsidRPr="005520FB">
        <w:t xml:space="preserve"> la supérieure de Marie, elle se place d’elle-même en position d’infériorité et honore son invitée en la reconnaissant comme </w:t>
      </w:r>
      <w:r w:rsidR="00F028CC">
        <w:t>« </w:t>
      </w:r>
      <w:r w:rsidR="00E96963" w:rsidRPr="005520FB">
        <w:rPr>
          <w:rStyle w:val="Emphasis"/>
        </w:rPr>
        <w:t>la mère de mon Seigneur</w:t>
      </w:r>
      <w:r w:rsidR="00F028CC">
        <w:rPr>
          <w:rStyle w:val="Emphasis"/>
        </w:rPr>
        <w:t> »</w:t>
      </w:r>
      <w:r w:rsidR="00E96963" w:rsidRPr="005520FB">
        <w:rPr>
          <w:rStyle w:val="Emphasis"/>
        </w:rPr>
        <w:t xml:space="preserve"> </w:t>
      </w:r>
      <w:r w:rsidR="00E96963" w:rsidRPr="005520FB">
        <w:t xml:space="preserve">et en l’appelant </w:t>
      </w:r>
      <w:r w:rsidR="00F028CC">
        <w:t>« </w:t>
      </w:r>
      <w:r w:rsidR="00E96963" w:rsidRPr="005520FB">
        <w:rPr>
          <w:rStyle w:val="Emphasis"/>
        </w:rPr>
        <w:t>bénie plus que toutes les femmes</w:t>
      </w:r>
      <w:r w:rsidR="00F028CC">
        <w:rPr>
          <w:rStyle w:val="Emphasis"/>
        </w:rPr>
        <w:t> »</w:t>
      </w:r>
      <w:r w:rsidRPr="005520FB">
        <w:t xml:space="preserve">, </w:t>
      </w:r>
      <w:r w:rsidR="00E96963" w:rsidRPr="005520FB">
        <w:t>con</w:t>
      </w:r>
      <w:r w:rsidRPr="005520FB">
        <w:t>firm</w:t>
      </w:r>
      <w:r w:rsidR="00E96963" w:rsidRPr="005520FB">
        <w:t xml:space="preserve">ant </w:t>
      </w:r>
      <w:r w:rsidR="00F028CC">
        <w:t xml:space="preserve">ainsi </w:t>
      </w:r>
      <w:r w:rsidR="00E96963" w:rsidRPr="005520FB">
        <w:t xml:space="preserve">le message de </w:t>
      </w:r>
      <w:r w:rsidRPr="005520FB">
        <w:t>Gabriel</w:t>
      </w:r>
      <w:r w:rsidR="00E96963" w:rsidRPr="005520FB">
        <w:t xml:space="preserve"> </w:t>
      </w:r>
      <w:r w:rsidR="00885A6D">
        <w:t xml:space="preserve">concernant </w:t>
      </w:r>
      <w:r w:rsidR="00E96963" w:rsidRPr="005520FB">
        <w:t>l</w:t>
      </w:r>
      <w:r w:rsidR="00F028CC">
        <w:t>a</w:t>
      </w:r>
      <w:r w:rsidR="00E96963" w:rsidRPr="005520FB">
        <w:t xml:space="preserve"> faveur </w:t>
      </w:r>
      <w:r w:rsidR="00F028CC">
        <w:t xml:space="preserve">divine </w:t>
      </w:r>
      <w:r w:rsidR="00E96963" w:rsidRPr="005520FB">
        <w:t>d</w:t>
      </w:r>
      <w:r w:rsidR="00F028CC">
        <w:t xml:space="preserve">ont a bénéficié </w:t>
      </w:r>
      <w:r w:rsidR="00E96963" w:rsidRPr="005520FB">
        <w:t>Marie.</w:t>
      </w:r>
      <w:r w:rsidR="00846577" w:rsidRPr="005520FB">
        <w:rPr>
          <w:rStyle w:val="EndnoteReference"/>
        </w:rPr>
        <w:endnoteReference w:id="40"/>
      </w:r>
    </w:p>
    <w:p w:rsidR="00BC2F12" w:rsidRPr="005520FB" w:rsidRDefault="00BF3A7E">
      <w:pPr>
        <w:pStyle w:val="NormalWeb"/>
      </w:pPr>
      <w:r w:rsidRPr="005520FB">
        <w:t>Mar</w:t>
      </w:r>
      <w:r w:rsidR="003029C7" w:rsidRPr="005520FB">
        <w:t xml:space="preserve">ie répond par ce magnifique hymne de louanges que nous appelons aujourd’hui le </w:t>
      </w:r>
      <w:r w:rsidRPr="005520FB">
        <w:t>Magnificat.</w:t>
      </w:r>
    </w:p>
    <w:p w:rsidR="00BC2F12" w:rsidRPr="005520FB" w:rsidRDefault="00846577" w:rsidP="00846577">
      <w:pPr>
        <w:pStyle w:val="indent"/>
      </w:pPr>
      <w:r w:rsidRPr="005520FB">
        <w:rPr>
          <w:rStyle w:val="Emphasis"/>
        </w:rPr>
        <w:t xml:space="preserve">Alors Marie dit : « Mon âme chante la grandeur du Seigneur et mon esprit se réjouit à cause de Dieu, mon Sauveur. Car </w:t>
      </w:r>
      <w:r w:rsidR="00107613" w:rsidRPr="005520FB">
        <w:rPr>
          <w:rStyle w:val="Emphasis"/>
        </w:rPr>
        <w:t>I</w:t>
      </w:r>
      <w:r w:rsidRPr="005520FB">
        <w:rPr>
          <w:rStyle w:val="Emphasis"/>
        </w:rPr>
        <w:t xml:space="preserve">l a bien voulu abaisser son regard sur son humble servante. C’est pourquoi, désormais, à travers tous les temps, on m’appellera bienheureuse. Car le Dieu tout–puissant a fait pour moi de grandes choses ; saint est son nom. Et sa bonté s’étendra d’âge en âge sur ceux qui </w:t>
      </w:r>
      <w:r w:rsidR="00107613" w:rsidRPr="005520FB">
        <w:rPr>
          <w:rStyle w:val="Emphasis"/>
        </w:rPr>
        <w:t>L</w:t>
      </w:r>
      <w:r w:rsidRPr="005520FB">
        <w:rPr>
          <w:rStyle w:val="Emphasis"/>
        </w:rPr>
        <w:t xml:space="preserve">e révèrent. Il est intervenu de toute sa puissance et </w:t>
      </w:r>
      <w:r w:rsidR="00107613" w:rsidRPr="005520FB">
        <w:rPr>
          <w:rStyle w:val="Emphasis"/>
        </w:rPr>
        <w:t>I</w:t>
      </w:r>
      <w:r w:rsidRPr="005520FB">
        <w:rPr>
          <w:rStyle w:val="Emphasis"/>
        </w:rPr>
        <w:t xml:space="preserve">l a dispersé les hommes dont le cœur était rempli d’orgueil. Il a précipité les puissants de leurs trônes, et </w:t>
      </w:r>
      <w:r w:rsidR="00107613" w:rsidRPr="005520FB">
        <w:rPr>
          <w:rStyle w:val="Emphasis"/>
        </w:rPr>
        <w:t>I</w:t>
      </w:r>
      <w:r w:rsidRPr="005520FB">
        <w:rPr>
          <w:rStyle w:val="Emphasis"/>
        </w:rPr>
        <w:t xml:space="preserve">l a élevé les humbles. Il a comblé de biens ceux qui sont affamés, et </w:t>
      </w:r>
      <w:r w:rsidR="00107613" w:rsidRPr="005520FB">
        <w:rPr>
          <w:rStyle w:val="Emphasis"/>
        </w:rPr>
        <w:t>I</w:t>
      </w:r>
      <w:r w:rsidRPr="005520FB">
        <w:rPr>
          <w:rStyle w:val="Emphasis"/>
        </w:rPr>
        <w:t xml:space="preserve">l a renvoyé les riches les mains vides. Oui, </w:t>
      </w:r>
      <w:r w:rsidR="00107613" w:rsidRPr="005520FB">
        <w:rPr>
          <w:rStyle w:val="Emphasis"/>
        </w:rPr>
        <w:t>I</w:t>
      </w:r>
      <w:r w:rsidRPr="005520FB">
        <w:rPr>
          <w:rStyle w:val="Emphasis"/>
        </w:rPr>
        <w:t xml:space="preserve">l a pris en main la cause d’Israël, </w:t>
      </w:r>
      <w:r w:rsidR="00107613" w:rsidRPr="005520FB">
        <w:rPr>
          <w:rStyle w:val="Emphasis"/>
        </w:rPr>
        <w:t>I</w:t>
      </w:r>
      <w:r w:rsidRPr="005520FB">
        <w:rPr>
          <w:rStyle w:val="Emphasis"/>
        </w:rPr>
        <w:t xml:space="preserve">l a témoigné sa bonté au peuple qui </w:t>
      </w:r>
      <w:r w:rsidR="00107613" w:rsidRPr="005520FB">
        <w:rPr>
          <w:rStyle w:val="Emphasis"/>
        </w:rPr>
        <w:t>L</w:t>
      </w:r>
      <w:r w:rsidRPr="005520FB">
        <w:rPr>
          <w:rStyle w:val="Emphasis"/>
        </w:rPr>
        <w:t xml:space="preserve">e sert, comme </w:t>
      </w:r>
      <w:r w:rsidR="00107613" w:rsidRPr="005520FB">
        <w:rPr>
          <w:rStyle w:val="Emphasis"/>
        </w:rPr>
        <w:t>I</w:t>
      </w:r>
      <w:r w:rsidRPr="005520FB">
        <w:rPr>
          <w:rStyle w:val="Emphasis"/>
        </w:rPr>
        <w:t>l l’avait promis à nos ancêtres, à Abraham et à ses descendants pour tous les temps. »</w:t>
      </w:r>
      <w:r w:rsidRPr="005520FB">
        <w:rPr>
          <w:rStyle w:val="EndnoteReference"/>
        </w:rPr>
        <w:endnoteReference w:id="41"/>
      </w:r>
    </w:p>
    <w:p w:rsidR="00BC2F12" w:rsidRPr="005520FB" w:rsidRDefault="00BC0370">
      <w:pPr>
        <w:pStyle w:val="NormalWeb"/>
      </w:pPr>
      <w:r w:rsidRPr="005520FB">
        <w:t xml:space="preserve">Comme les autres </w:t>
      </w:r>
      <w:r w:rsidR="00C45C72" w:rsidRPr="005520FB">
        <w:t>hymnes</w:t>
      </w:r>
      <w:r w:rsidRPr="005520FB">
        <w:t xml:space="preserve"> de louanges des Psaumes, </w:t>
      </w:r>
      <w:r w:rsidR="00C647A2" w:rsidRPr="005520FB">
        <w:t>celui-ci</w:t>
      </w:r>
      <w:r w:rsidRPr="005520FB">
        <w:t xml:space="preserve"> comporte trois parties : premièrement, une introduction sous forme de louanges adressées à Dieu; deuxièmement, l’hymne proprement dit</w:t>
      </w:r>
      <w:r w:rsidR="00C647A2" w:rsidRPr="005520FB">
        <w:t>,</w:t>
      </w:r>
      <w:r w:rsidRPr="005520FB">
        <w:t xml:space="preserve"> qui explique la raison des louanges et qui commence </w:t>
      </w:r>
      <w:r w:rsidR="00C45C72" w:rsidRPr="005520FB">
        <w:t>souvent</w:t>
      </w:r>
      <w:r w:rsidR="00B30893" w:rsidRPr="005520FB">
        <w:t xml:space="preserve"> par</w:t>
      </w:r>
      <w:r w:rsidRPr="005520FB">
        <w:t> </w:t>
      </w:r>
      <w:r w:rsidR="00B30893" w:rsidRPr="005520FB">
        <w:t>« </w:t>
      </w:r>
      <w:r w:rsidRPr="005520FB">
        <w:t>car » ; troisièmement, la conclusion.</w:t>
      </w:r>
    </w:p>
    <w:p w:rsidR="00BC2F12" w:rsidRPr="005520FB" w:rsidRDefault="00B30893" w:rsidP="004212D3">
      <w:pPr>
        <w:pStyle w:val="NormalWeb"/>
      </w:pPr>
      <w:r w:rsidRPr="005520FB">
        <w:t>L’introduction de Marie</w:t>
      </w:r>
      <w:r w:rsidR="00706C0E" w:rsidRPr="005520FB">
        <w:t>, sous</w:t>
      </w:r>
      <w:r w:rsidRPr="005520FB">
        <w:t xml:space="preserve"> </w:t>
      </w:r>
      <w:r w:rsidR="009A29F7">
        <w:t xml:space="preserve">la </w:t>
      </w:r>
      <w:r w:rsidRPr="005520FB">
        <w:t>forme d</w:t>
      </w:r>
      <w:r w:rsidR="009A29F7">
        <w:t>’un</w:t>
      </w:r>
      <w:r w:rsidRPr="005520FB">
        <w:t>e louange</w:t>
      </w:r>
      <w:r w:rsidR="00706C0E" w:rsidRPr="005520FB">
        <w:t>,</w:t>
      </w:r>
      <w:r w:rsidRPr="005520FB">
        <w:t xml:space="preserve"> commence ainsi : </w:t>
      </w:r>
      <w:r w:rsidR="004212D3" w:rsidRPr="005520FB">
        <w:t>« </w:t>
      </w:r>
      <w:r w:rsidRPr="005520FB">
        <w:rPr>
          <w:rStyle w:val="Emphasis"/>
        </w:rPr>
        <w:t>Mon âme chante la grandeur du Seigneur et mon esprit se réjouit à cause de Dieu, mon Sauveur</w:t>
      </w:r>
      <w:r w:rsidR="004212D3" w:rsidRPr="005520FB">
        <w:rPr>
          <w:rStyle w:val="Emphasis"/>
        </w:rPr>
        <w:t>. »</w:t>
      </w:r>
      <w:r w:rsidR="004212D3" w:rsidRPr="005520FB">
        <w:rPr>
          <w:rStyle w:val="EndnoteReference"/>
        </w:rPr>
        <w:endnoteReference w:id="42"/>
      </w:r>
      <w:r w:rsidR="00BF3A7E" w:rsidRPr="005520FB">
        <w:t xml:space="preserve"> </w:t>
      </w:r>
      <w:r w:rsidRPr="005520FB">
        <w:t>Elle continue avec la partie principale de l’hymne (</w:t>
      </w:r>
      <w:r w:rsidR="00BF3A7E" w:rsidRPr="005520FB">
        <w:t>verse</w:t>
      </w:r>
      <w:r w:rsidRPr="005520FB">
        <w:t>t</w:t>
      </w:r>
      <w:r w:rsidR="00BF3A7E" w:rsidRPr="005520FB">
        <w:t>s 48</w:t>
      </w:r>
      <w:r w:rsidRPr="005520FB">
        <w:t xml:space="preserve"> à </w:t>
      </w:r>
      <w:r w:rsidR="00BF3A7E" w:rsidRPr="005520FB">
        <w:t xml:space="preserve">53), </w:t>
      </w:r>
      <w:r w:rsidRPr="005520FB">
        <w:t>qui commence par : « </w:t>
      </w:r>
      <w:r w:rsidRPr="005520FB">
        <w:rPr>
          <w:rStyle w:val="Emphasis"/>
        </w:rPr>
        <w:t>C</w:t>
      </w:r>
      <w:r w:rsidR="004212D3" w:rsidRPr="005520FB">
        <w:rPr>
          <w:rStyle w:val="Emphasis"/>
        </w:rPr>
        <w:t xml:space="preserve">ar </w:t>
      </w:r>
      <w:r w:rsidR="00EF2D0E" w:rsidRPr="005520FB">
        <w:rPr>
          <w:rStyle w:val="Emphasis"/>
        </w:rPr>
        <w:t>I</w:t>
      </w:r>
      <w:r w:rsidR="004212D3" w:rsidRPr="005520FB">
        <w:rPr>
          <w:rStyle w:val="Emphasis"/>
        </w:rPr>
        <w:t>l a bien voulu abaisser son regard sur son humble servante</w:t>
      </w:r>
      <w:r w:rsidR="00706C0E" w:rsidRPr="005520FB">
        <w:rPr>
          <w:rStyle w:val="Emphasis"/>
        </w:rPr>
        <w:t> »</w:t>
      </w:r>
      <w:r w:rsidR="004212D3" w:rsidRPr="005520FB">
        <w:rPr>
          <w:rStyle w:val="Emphasis"/>
        </w:rPr>
        <w:t>.</w:t>
      </w:r>
      <w:r w:rsidR="004212D3" w:rsidRPr="005520FB">
        <w:rPr>
          <w:rStyle w:val="EndnoteReference"/>
        </w:rPr>
        <w:endnoteReference w:id="43"/>
      </w:r>
      <w:r w:rsidR="00BF3A7E" w:rsidRPr="005520FB">
        <w:t xml:space="preserve"> </w:t>
      </w:r>
      <w:r w:rsidR="002B009C" w:rsidRPr="005520FB">
        <w:t>Le même mot grec</w:t>
      </w:r>
      <w:r w:rsidR="00706C0E" w:rsidRPr="005520FB">
        <w:t>,</w:t>
      </w:r>
      <w:r w:rsidR="002B009C" w:rsidRPr="005520FB">
        <w:t xml:space="preserve"> qui a été traduit pas « car » dans ce verset, a été traduit 173 fois par </w:t>
      </w:r>
      <w:r w:rsidR="00706C0E" w:rsidRPr="005520FB">
        <w:t> « </w:t>
      </w:r>
      <w:r w:rsidR="002B009C" w:rsidRPr="005520FB">
        <w:t>parce que</w:t>
      </w:r>
      <w:r w:rsidR="00706C0E" w:rsidRPr="005520FB">
        <w:t> »</w:t>
      </w:r>
      <w:r w:rsidR="002B009C" w:rsidRPr="005520FB">
        <w:t xml:space="preserve"> ou « puisque » dans le Nouveau </w:t>
      </w:r>
      <w:r w:rsidR="00706C0E" w:rsidRPr="005520FB">
        <w:t>T</w:t>
      </w:r>
      <w:r w:rsidR="002B009C" w:rsidRPr="005520FB">
        <w:t xml:space="preserve">estament. La raison (ou le </w:t>
      </w:r>
      <w:r w:rsidR="009A29F7">
        <w:t>« </w:t>
      </w:r>
      <w:r w:rsidR="002B009C" w:rsidRPr="005520FB">
        <w:t>p</w:t>
      </w:r>
      <w:r w:rsidR="009A29F7">
        <w:t>arc</w:t>
      </w:r>
      <w:r w:rsidR="002B009C" w:rsidRPr="005520FB">
        <w:t>e que</w:t>
      </w:r>
      <w:r w:rsidR="009A29F7">
        <w:t> »</w:t>
      </w:r>
      <w:r w:rsidR="002B009C" w:rsidRPr="005520FB">
        <w:t xml:space="preserve">) des louanges concerne les attributs de Dieu (tout-puissant, saint, bon) et ses œuvres (Il est intervenu dans toute sa puissance, a dispersé les orgueilleux, a précipité les puissants de leurs trônes, a élevé les humbles, </w:t>
      </w:r>
      <w:r w:rsidR="0086470F" w:rsidRPr="005520FB">
        <w:t>comblé les affamés)</w:t>
      </w:r>
      <w:r w:rsidR="00706C0E" w:rsidRPr="005520FB">
        <w:t>.</w:t>
      </w:r>
      <w:r w:rsidR="0086470F" w:rsidRPr="005520FB">
        <w:t xml:space="preserve"> La conclusion résume les exploits de Dieu (Il a pris en main la cause d’Israël</w:t>
      </w:r>
      <w:r w:rsidR="00B87204" w:rsidRPr="005520FB">
        <w:t xml:space="preserve">) et ses attributs (Il a témoigné sa bonté au peuple) en venant au secours de son serviteur </w:t>
      </w:r>
      <w:r w:rsidR="00BF3A7E" w:rsidRPr="005520FB">
        <w:t>Isra</w:t>
      </w:r>
      <w:r w:rsidR="00B87204" w:rsidRPr="005520FB">
        <w:t>ë</w:t>
      </w:r>
      <w:r w:rsidR="00BF3A7E" w:rsidRPr="005520FB">
        <w:t>l.</w:t>
      </w:r>
      <w:r w:rsidR="004212D3" w:rsidRPr="005520FB">
        <w:rPr>
          <w:rStyle w:val="EndnoteReference"/>
        </w:rPr>
        <w:endnoteReference w:id="44"/>
      </w:r>
    </w:p>
    <w:p w:rsidR="00BC2F12" w:rsidRPr="005520FB" w:rsidRDefault="00BF3A7E">
      <w:pPr>
        <w:pStyle w:val="NormalWeb"/>
      </w:pPr>
      <w:r w:rsidRPr="005520FB">
        <w:t>Mar</w:t>
      </w:r>
      <w:r w:rsidR="00D170F8" w:rsidRPr="005520FB">
        <w:t xml:space="preserve">ie demeura chez </w:t>
      </w:r>
      <w:r w:rsidR="0089745A" w:rsidRPr="005520FB">
        <w:t>Élisabeth</w:t>
      </w:r>
      <w:r w:rsidR="00D170F8" w:rsidRPr="005520FB">
        <w:t xml:space="preserve"> pendant environ trois mois, probablement pour l’a</w:t>
      </w:r>
      <w:r w:rsidR="009A29F7">
        <w:t>ssister</w:t>
      </w:r>
      <w:r w:rsidR="00D170F8" w:rsidRPr="005520FB">
        <w:t xml:space="preserve"> </w:t>
      </w:r>
      <w:r w:rsidR="009A29F7">
        <w:t>au cours d</w:t>
      </w:r>
      <w:r w:rsidR="00834C4F" w:rsidRPr="005520FB">
        <w:t>es derniers mois de sa grossesse. On ne sait pas avec certitude si elle est partie avant ou après l’accouchement d’</w:t>
      </w:r>
      <w:r w:rsidR="0089745A" w:rsidRPr="005520FB">
        <w:t>Élisabeth</w:t>
      </w:r>
      <w:r w:rsidR="00834C4F" w:rsidRPr="005520FB">
        <w:t> ; cela a très bien pu être l’un ou l’autre. Ces deux femmes</w:t>
      </w:r>
      <w:r w:rsidR="00B47BD0" w:rsidRPr="005520FB">
        <w:t>, qui</w:t>
      </w:r>
      <w:r w:rsidR="00834C4F" w:rsidRPr="005520FB">
        <w:t xml:space="preserve"> jouèrent un </w:t>
      </w:r>
      <w:r w:rsidR="0089745A" w:rsidRPr="005520FB">
        <w:t>rôle</w:t>
      </w:r>
      <w:r w:rsidR="00834C4F" w:rsidRPr="005520FB">
        <w:t xml:space="preserve"> d’une importance capitale dans le salut de l’humanité</w:t>
      </w:r>
      <w:r w:rsidR="00B47BD0" w:rsidRPr="005520FB">
        <w:t>,</w:t>
      </w:r>
      <w:r w:rsidR="00834C4F" w:rsidRPr="005520FB">
        <w:t xml:space="preserve"> purent se réconforter mutuellement et s’entraider avant la naissance de leurs enfants. Nul doute que les mois passés avec </w:t>
      </w:r>
      <w:r w:rsidR="0089745A" w:rsidRPr="005520FB">
        <w:t>Élisabeth</w:t>
      </w:r>
      <w:r w:rsidR="00834C4F" w:rsidRPr="005520FB">
        <w:t xml:space="preserve"> fortifièrent Marie en prévision de ce qui l’attendait lorsqu’elle rentrerait chez elle et qu’elle devrait expliquer à Joseph qu’elle était enceinte. </w:t>
      </w:r>
    </w:p>
    <w:p w:rsidR="00BC2F12" w:rsidRPr="005520FB" w:rsidRDefault="00B50FD9">
      <w:r>
        <w:pict>
          <v:rect id="_x0000_i1025" style="width:0;height:1.5pt" o:hralign="center" o:hrstd="t" o:hr="t" fillcolor="#a0a0a0" stroked="f"/>
        </w:pict>
      </w:r>
    </w:p>
    <w:p w:rsidR="00AF0378" w:rsidRPr="005520FB" w:rsidRDefault="00AF0378" w:rsidP="00AF0378">
      <w:pPr>
        <w:pStyle w:val="NormalWeb"/>
        <w:rPr>
          <w:rStyle w:val="Strong"/>
          <w:sz w:val="27"/>
          <w:szCs w:val="27"/>
        </w:rPr>
      </w:pPr>
      <w:r w:rsidRPr="005520FB">
        <w:rPr>
          <w:rStyle w:val="Strong"/>
          <w:sz w:val="27"/>
          <w:szCs w:val="27"/>
        </w:rPr>
        <w:t xml:space="preserve">NB: </w:t>
      </w:r>
    </w:p>
    <w:p w:rsidR="00BC2F12" w:rsidRPr="005520FB" w:rsidRDefault="00AF0378" w:rsidP="00AF0378">
      <w:pPr>
        <w:pStyle w:val="NormalWeb"/>
        <w:rPr>
          <w:b/>
          <w:sz w:val="22"/>
        </w:rPr>
      </w:pPr>
      <w:r w:rsidRPr="005520FB">
        <w:rPr>
          <w:rStyle w:val="Strong"/>
          <w:b w:val="0"/>
          <w:szCs w:val="27"/>
        </w:rPr>
        <w:t>Sauf indication contraire, les passages bibliques cités sont extraits de la Sainte Bible, version du Semeur, copyright © 2000 par  Société Biblique Internationale. Tous droits réservés. Avec permission. Les autres versions citées sont la Bible en français courant (BFC), la Parole de Vie (PDV), et Parole vivante (PVV).</w:t>
      </w:r>
    </w:p>
    <w:p w:rsidR="00BC2F12" w:rsidRPr="005520FB" w:rsidRDefault="00B50FD9">
      <w:r>
        <w:pict>
          <v:rect id="_x0000_i1026" style="width:0;height:1.5pt" o:hralign="center" o:hrstd="t" o:hr="t" fillcolor="#a0a0a0" stroked="f"/>
        </w:pict>
      </w:r>
    </w:p>
    <w:p w:rsidR="00BC2F12" w:rsidRPr="005520FB" w:rsidRDefault="00BF3A7E">
      <w:pPr>
        <w:pStyle w:val="Heading3"/>
        <w:rPr>
          <w:rFonts w:ascii="Times New Roman" w:hAnsi="Times New Roman"/>
          <w:color w:val="auto"/>
        </w:rPr>
      </w:pPr>
      <w:r w:rsidRPr="005520FB">
        <w:rPr>
          <w:rStyle w:val="Strong"/>
          <w:rFonts w:ascii="Times New Roman" w:hAnsi="Times New Roman"/>
          <w:b/>
          <w:bCs/>
          <w:color w:val="auto"/>
        </w:rPr>
        <w:t>Bibliograph</w:t>
      </w:r>
      <w:r w:rsidR="008F17D9" w:rsidRPr="005520FB">
        <w:rPr>
          <w:rStyle w:val="Strong"/>
          <w:rFonts w:ascii="Times New Roman" w:hAnsi="Times New Roman"/>
          <w:b/>
          <w:bCs/>
          <w:color w:val="auto"/>
        </w:rPr>
        <w:t>ie générale</w:t>
      </w:r>
    </w:p>
    <w:p w:rsidR="0082235F" w:rsidRPr="005520FB" w:rsidRDefault="0082235F" w:rsidP="0082235F">
      <w:pPr>
        <w:pStyle w:val="NormalWeb"/>
      </w:pPr>
      <w:r w:rsidRPr="005520FB">
        <w:t xml:space="preserve">Bailey, Kenneth E. </w:t>
      </w:r>
      <w:r w:rsidRPr="005B1095">
        <w:rPr>
          <w:i/>
        </w:rPr>
        <w:t>Jesus Through Middle Eastern Eyes</w:t>
      </w:r>
      <w:r w:rsidRPr="005520FB">
        <w:t xml:space="preserve"> [Jésus à travers le regard du Moyen-Orient]. Downers Grove: InterVarsity Press, 2008.</w:t>
      </w:r>
    </w:p>
    <w:p w:rsidR="0082235F" w:rsidRPr="005520FB" w:rsidRDefault="0082235F" w:rsidP="0082235F">
      <w:pPr>
        <w:pStyle w:val="NormalWeb"/>
      </w:pPr>
      <w:r w:rsidRPr="005520FB">
        <w:t xml:space="preserve">Biven, David. </w:t>
      </w:r>
      <w:r w:rsidRPr="005B1095">
        <w:rPr>
          <w:i/>
        </w:rPr>
        <w:t>New Light on the Difficult Words of Jesus</w:t>
      </w:r>
      <w:r w:rsidRPr="005520FB">
        <w:t xml:space="preserve"> [Nouvel éclairage sur les paroles difficiles de Jésus]. Holland: En-Gedi Resource Center, 2007.</w:t>
      </w:r>
    </w:p>
    <w:p w:rsidR="0082235F" w:rsidRPr="005520FB" w:rsidRDefault="0082235F" w:rsidP="0082235F">
      <w:pPr>
        <w:pStyle w:val="NormalWeb"/>
        <w:rPr>
          <w:lang w:val="en-US"/>
        </w:rPr>
      </w:pPr>
      <w:r w:rsidRPr="005520FB">
        <w:t xml:space="preserve">Bock, Darrell L. </w:t>
      </w:r>
      <w:r w:rsidRPr="005B1095">
        <w:rPr>
          <w:i/>
        </w:rPr>
        <w:t>Jesus According to Scripture</w:t>
      </w:r>
      <w:r w:rsidRPr="005520FB">
        <w:t xml:space="preserve"> [Jésus d’après les Ecritures]. </w:t>
      </w:r>
      <w:r w:rsidRPr="005520FB">
        <w:rPr>
          <w:lang w:val="en-US"/>
        </w:rPr>
        <w:t>Grand Rapids: Baker Academic, 2002.</w:t>
      </w:r>
    </w:p>
    <w:p w:rsidR="0082235F" w:rsidRPr="005520FB" w:rsidRDefault="0082235F" w:rsidP="0082235F">
      <w:pPr>
        <w:pStyle w:val="NormalWeb"/>
        <w:rPr>
          <w:lang w:val="en-US"/>
        </w:rPr>
      </w:pPr>
      <w:r w:rsidRPr="005520FB">
        <w:rPr>
          <w:lang w:val="en-US"/>
        </w:rPr>
        <w:t xml:space="preserve">Brown, Raymond E. </w:t>
      </w:r>
      <w:r w:rsidRPr="005B1095">
        <w:rPr>
          <w:i/>
          <w:lang w:val="en-US"/>
        </w:rPr>
        <w:t>The</w:t>
      </w:r>
      <w:r w:rsidRPr="005520FB">
        <w:rPr>
          <w:lang w:val="en-US"/>
        </w:rPr>
        <w:t xml:space="preserve"> </w:t>
      </w:r>
      <w:r w:rsidRPr="005B1095">
        <w:rPr>
          <w:i/>
          <w:lang w:val="en-US"/>
        </w:rPr>
        <w:t>Birth of the Messiah</w:t>
      </w:r>
      <w:r w:rsidRPr="005520FB">
        <w:rPr>
          <w:lang w:val="en-US"/>
        </w:rPr>
        <w:t xml:space="preserve"> [La naissance du Messie]. New York: Doubleday, 1993.</w:t>
      </w:r>
    </w:p>
    <w:p w:rsidR="0082235F" w:rsidRPr="005520FB" w:rsidRDefault="0082235F" w:rsidP="0082235F">
      <w:pPr>
        <w:pStyle w:val="NormalWeb"/>
        <w:rPr>
          <w:lang w:val="en-US"/>
        </w:rPr>
      </w:pPr>
      <w:r w:rsidRPr="005520FB">
        <w:rPr>
          <w:lang w:val="en-US"/>
        </w:rPr>
        <w:t xml:space="preserve">Brown, Raymond E. </w:t>
      </w:r>
      <w:r w:rsidRPr="005B1095">
        <w:rPr>
          <w:i/>
          <w:lang w:val="en-US"/>
        </w:rPr>
        <w:t>The Death of the Messiah</w:t>
      </w:r>
      <w:r w:rsidRPr="005520FB">
        <w:rPr>
          <w:lang w:val="en-US"/>
        </w:rPr>
        <w:t>.[La mort du Messie]. 2 vols. New York: Doubleday, 1994.</w:t>
      </w:r>
    </w:p>
    <w:p w:rsidR="0082235F" w:rsidRPr="005520FB" w:rsidRDefault="0082235F" w:rsidP="0082235F">
      <w:pPr>
        <w:pStyle w:val="NormalWeb"/>
        <w:rPr>
          <w:lang w:val="en-US"/>
        </w:rPr>
      </w:pPr>
      <w:r w:rsidRPr="005520FB">
        <w:rPr>
          <w:lang w:val="en-US"/>
        </w:rPr>
        <w:t xml:space="preserve">Charlesworth, James H., ed. </w:t>
      </w:r>
      <w:r w:rsidRPr="005B1095">
        <w:rPr>
          <w:i/>
          <w:lang w:val="en-US"/>
        </w:rPr>
        <w:t>Jesus’ Jewishness, Exploring the Place of Jesus Within Early Judaism.</w:t>
      </w:r>
      <w:r w:rsidRPr="005520FB">
        <w:rPr>
          <w:lang w:val="en-US"/>
        </w:rPr>
        <w:t xml:space="preserve"> </w:t>
      </w:r>
      <w:r w:rsidRPr="005520FB">
        <w:t xml:space="preserve">[La Judéité de Jésus: une analyse de la place de Jésus dans le judaïsme primitif]. </w:t>
      </w:r>
      <w:r w:rsidRPr="005520FB">
        <w:rPr>
          <w:lang w:val="en-US"/>
        </w:rPr>
        <w:t>New York: The Crossroad Publishing Company, 1997.</w:t>
      </w:r>
    </w:p>
    <w:p w:rsidR="0082235F" w:rsidRPr="005520FB" w:rsidRDefault="0082235F" w:rsidP="0082235F">
      <w:pPr>
        <w:pStyle w:val="NormalWeb"/>
        <w:rPr>
          <w:lang w:val="en-US"/>
        </w:rPr>
      </w:pPr>
      <w:r w:rsidRPr="005520FB">
        <w:rPr>
          <w:lang w:val="en-US"/>
        </w:rPr>
        <w:t xml:space="preserve">Edersheim, Alfred. </w:t>
      </w:r>
      <w:r w:rsidRPr="005B1095">
        <w:rPr>
          <w:i/>
          <w:lang w:val="en-US"/>
        </w:rPr>
        <w:t>The Life and Times of Jesus the Messiah</w:t>
      </w:r>
      <w:r w:rsidRPr="005520FB">
        <w:rPr>
          <w:lang w:val="en-US"/>
        </w:rPr>
        <w:t xml:space="preserve">. </w:t>
      </w:r>
      <w:r w:rsidRPr="005520FB">
        <w:t xml:space="preserve">Updated edition. [La vie et l’époque de Jésus] édition mise à jour. </w:t>
      </w:r>
      <w:r w:rsidRPr="005520FB">
        <w:rPr>
          <w:lang w:val="en-US"/>
        </w:rPr>
        <w:t>Hendrickson Publishers, 1993.</w:t>
      </w:r>
    </w:p>
    <w:p w:rsidR="0082235F" w:rsidRPr="005520FB" w:rsidRDefault="0082235F" w:rsidP="0082235F">
      <w:pPr>
        <w:pStyle w:val="NormalWeb"/>
        <w:rPr>
          <w:lang w:val="en-US"/>
        </w:rPr>
      </w:pPr>
      <w:r w:rsidRPr="005520FB">
        <w:rPr>
          <w:lang w:val="en-US"/>
        </w:rPr>
        <w:t xml:space="preserve">Elwell, Walter A., and Robert W. Yarbrough. </w:t>
      </w:r>
      <w:r w:rsidRPr="005B1095">
        <w:rPr>
          <w:i/>
          <w:lang w:val="en-US"/>
        </w:rPr>
        <w:t xml:space="preserve">Encountering the New Testament </w:t>
      </w:r>
      <w:r w:rsidRPr="005520FB">
        <w:rPr>
          <w:lang w:val="en-US"/>
        </w:rPr>
        <w:t>[Rencontre avec le Nouveau testament]. Grand Rapids: Baker Academic, 2005.</w:t>
      </w:r>
    </w:p>
    <w:p w:rsidR="0082235F" w:rsidRPr="005520FB" w:rsidRDefault="0082235F" w:rsidP="0082235F">
      <w:pPr>
        <w:pStyle w:val="NormalWeb"/>
      </w:pPr>
      <w:r w:rsidRPr="005520FB">
        <w:rPr>
          <w:lang w:val="en-US"/>
        </w:rPr>
        <w:t xml:space="preserve">Evans, Craig A. </w:t>
      </w:r>
      <w:r w:rsidRPr="005B1095">
        <w:rPr>
          <w:i/>
          <w:lang w:val="en-US"/>
        </w:rPr>
        <w:t>World Biblical Commentary</w:t>
      </w:r>
      <w:r w:rsidRPr="005520FB">
        <w:rPr>
          <w:lang w:val="en-US"/>
        </w:rPr>
        <w:t xml:space="preserve">: Mark 8:27–16:20. </w:t>
      </w:r>
      <w:r w:rsidRPr="005520FB">
        <w:t>[Commentaire biblique universel : Marc 8:27–16:20] Nashville: Thomas Nelson, 2000.</w:t>
      </w:r>
    </w:p>
    <w:p w:rsidR="0082235F" w:rsidRPr="005520FB" w:rsidRDefault="0082235F" w:rsidP="0082235F">
      <w:pPr>
        <w:pStyle w:val="NormalWeb"/>
        <w:rPr>
          <w:lang w:val="en-US"/>
        </w:rPr>
      </w:pPr>
      <w:r w:rsidRPr="005520FB">
        <w:rPr>
          <w:lang w:val="en-US"/>
        </w:rPr>
        <w:t xml:space="preserve">Flusser, David. </w:t>
      </w:r>
      <w:r w:rsidRPr="005B1095">
        <w:rPr>
          <w:i/>
          <w:lang w:val="en-US"/>
        </w:rPr>
        <w:t>Jesus</w:t>
      </w:r>
      <w:r w:rsidRPr="005520FB">
        <w:rPr>
          <w:lang w:val="en-US"/>
        </w:rPr>
        <w:t>. [Jésus] Jerusalem: The Magnes Press, 1998.</w:t>
      </w:r>
    </w:p>
    <w:p w:rsidR="0082235F" w:rsidRPr="005520FB" w:rsidRDefault="0082235F" w:rsidP="0082235F">
      <w:pPr>
        <w:pStyle w:val="NormalWeb"/>
        <w:rPr>
          <w:lang w:val="en-US"/>
        </w:rPr>
      </w:pPr>
      <w:r w:rsidRPr="005520FB">
        <w:rPr>
          <w:lang w:val="en-US"/>
        </w:rPr>
        <w:t xml:space="preserve">Flusser, David, and R. Steven Notely. </w:t>
      </w:r>
      <w:r w:rsidRPr="005B1095">
        <w:rPr>
          <w:i/>
        </w:rPr>
        <w:t>The Sage from Galilee: Rediscovering Jesus’ Genius</w:t>
      </w:r>
      <w:r w:rsidRPr="005520FB">
        <w:t xml:space="preserve"> [Le Sage de Galilée: redécouverte du génie de Jésus]. </w:t>
      </w:r>
      <w:r w:rsidRPr="005520FB">
        <w:rPr>
          <w:lang w:val="en-US"/>
        </w:rPr>
        <w:t>Grand Rapids: William B. Eerdmans’ Publishing Company, 2007.</w:t>
      </w:r>
    </w:p>
    <w:p w:rsidR="0082235F" w:rsidRPr="005520FB" w:rsidRDefault="0082235F" w:rsidP="0082235F">
      <w:pPr>
        <w:pStyle w:val="NormalWeb"/>
        <w:rPr>
          <w:lang w:val="en-US"/>
        </w:rPr>
      </w:pPr>
      <w:r w:rsidRPr="005520FB">
        <w:rPr>
          <w:lang w:val="en-US"/>
        </w:rPr>
        <w:t xml:space="preserve">Green, Joel B. </w:t>
      </w:r>
      <w:r w:rsidRPr="005B1095">
        <w:rPr>
          <w:i/>
          <w:lang w:val="en-US"/>
        </w:rPr>
        <w:t>The Gospel of Luc</w:t>
      </w:r>
      <w:r w:rsidRPr="005520FB">
        <w:rPr>
          <w:lang w:val="en-US"/>
        </w:rPr>
        <w:t xml:space="preserve"> [L’Evangile de Luc]. Grand Rapids: William B. Eerdmans’ Publishing Company, 1997.</w:t>
      </w:r>
    </w:p>
    <w:p w:rsidR="0082235F" w:rsidRPr="005520FB" w:rsidRDefault="0082235F" w:rsidP="0082235F">
      <w:pPr>
        <w:pStyle w:val="NormalWeb"/>
        <w:rPr>
          <w:lang w:val="en-US"/>
        </w:rPr>
      </w:pPr>
      <w:r w:rsidRPr="005520FB">
        <w:rPr>
          <w:lang w:val="en-US"/>
        </w:rPr>
        <w:t xml:space="preserve">Green, Joel B., and Scot McKnight, eds. </w:t>
      </w:r>
      <w:r w:rsidRPr="005B1095">
        <w:rPr>
          <w:i/>
        </w:rPr>
        <w:t xml:space="preserve">Dictionary of Jesus and the Gospels </w:t>
      </w:r>
      <w:r w:rsidRPr="005520FB">
        <w:t xml:space="preserve">[Dictionnaire de Jésus et des Evangiles]. </w:t>
      </w:r>
      <w:r w:rsidRPr="005520FB">
        <w:rPr>
          <w:lang w:val="en-US"/>
        </w:rPr>
        <w:t>Downers Grove: InterVarsity Press, 1992.</w:t>
      </w:r>
    </w:p>
    <w:p w:rsidR="0082235F" w:rsidRPr="005520FB" w:rsidRDefault="0082235F" w:rsidP="0082235F">
      <w:pPr>
        <w:pStyle w:val="NormalWeb"/>
        <w:rPr>
          <w:lang w:val="en-US"/>
        </w:rPr>
      </w:pPr>
      <w:r w:rsidRPr="005520FB">
        <w:rPr>
          <w:lang w:val="en-US"/>
        </w:rPr>
        <w:t xml:space="preserve">Guelich, Robert A. </w:t>
      </w:r>
      <w:r w:rsidRPr="005B1095">
        <w:rPr>
          <w:i/>
          <w:lang w:val="en-US"/>
        </w:rPr>
        <w:t>World Biblical Commentary</w:t>
      </w:r>
      <w:r w:rsidRPr="005520FB">
        <w:rPr>
          <w:lang w:val="en-US"/>
        </w:rPr>
        <w:t xml:space="preserve">: </w:t>
      </w:r>
      <w:r w:rsidRPr="005B1095">
        <w:rPr>
          <w:i/>
          <w:lang w:val="en-US"/>
        </w:rPr>
        <w:t>Mark 1–8:26</w:t>
      </w:r>
      <w:r w:rsidRPr="005520FB">
        <w:rPr>
          <w:lang w:val="en-US"/>
        </w:rPr>
        <w:t xml:space="preserve"> [Commentaire biblique universel: Marc 1–8:26]. Nashville: Thomas Nelson, 1989.</w:t>
      </w:r>
    </w:p>
    <w:p w:rsidR="0082235F" w:rsidRPr="005520FB" w:rsidRDefault="0082235F" w:rsidP="0082235F">
      <w:pPr>
        <w:pStyle w:val="NormalWeb"/>
        <w:rPr>
          <w:lang w:val="en-US"/>
        </w:rPr>
      </w:pPr>
      <w:r w:rsidRPr="005520FB">
        <w:rPr>
          <w:lang w:val="en-US"/>
        </w:rPr>
        <w:t xml:space="preserve">Jeremias, Joachim. </w:t>
      </w:r>
      <w:r w:rsidRPr="005362F1">
        <w:rPr>
          <w:i/>
          <w:lang w:val="en-US"/>
        </w:rPr>
        <w:t>The Eucharistic Words of Jesus</w:t>
      </w:r>
      <w:r w:rsidRPr="005362F1">
        <w:rPr>
          <w:lang w:val="en-US"/>
        </w:rPr>
        <w:t xml:space="preserve"> [les </w:t>
      </w:r>
      <w:r w:rsidR="005B1095" w:rsidRPr="005362F1">
        <w:rPr>
          <w:lang w:val="en-US"/>
        </w:rPr>
        <w:t>P</w:t>
      </w:r>
      <w:r w:rsidRPr="005362F1">
        <w:rPr>
          <w:lang w:val="en-US"/>
        </w:rPr>
        <w:t>aroles</w:t>
      </w:r>
      <w:r w:rsidRPr="009A29F7">
        <w:t xml:space="preserve"> eucharistiques</w:t>
      </w:r>
      <w:r w:rsidRPr="005362F1">
        <w:rPr>
          <w:lang w:val="en-US"/>
        </w:rPr>
        <w:t xml:space="preserve"> de Jésus]. </w:t>
      </w:r>
      <w:r w:rsidRPr="005520FB">
        <w:rPr>
          <w:lang w:val="en-US"/>
        </w:rPr>
        <w:t>Philadelphia: Trinity Press International, 1990.</w:t>
      </w:r>
    </w:p>
    <w:p w:rsidR="0082235F" w:rsidRPr="005520FB" w:rsidRDefault="0082235F" w:rsidP="0082235F">
      <w:pPr>
        <w:pStyle w:val="NormalWeb"/>
        <w:rPr>
          <w:lang w:val="en-US"/>
        </w:rPr>
      </w:pPr>
      <w:r w:rsidRPr="005520FB">
        <w:rPr>
          <w:lang w:val="en-US"/>
        </w:rPr>
        <w:t xml:space="preserve">Jeremias, Joachim. </w:t>
      </w:r>
      <w:r w:rsidRPr="005B1095">
        <w:rPr>
          <w:i/>
          <w:lang w:val="en-US"/>
        </w:rPr>
        <w:t>Jerusalem in the Time of Jesus</w:t>
      </w:r>
      <w:r w:rsidRPr="005520FB">
        <w:rPr>
          <w:lang w:val="en-US"/>
        </w:rPr>
        <w:t xml:space="preserve"> [Jérusalem à l’époque de Jésus]. Philadelphia: Fortress Press, 1996.</w:t>
      </w:r>
    </w:p>
    <w:p w:rsidR="0082235F" w:rsidRPr="005520FB" w:rsidRDefault="0082235F" w:rsidP="0082235F">
      <w:pPr>
        <w:pStyle w:val="NormalWeb"/>
        <w:rPr>
          <w:lang w:val="en-US"/>
        </w:rPr>
      </w:pPr>
      <w:r w:rsidRPr="005520FB">
        <w:rPr>
          <w:lang w:val="en-US"/>
        </w:rPr>
        <w:t xml:space="preserve">Jeremias, Joachim. </w:t>
      </w:r>
      <w:r w:rsidRPr="005B1095">
        <w:rPr>
          <w:i/>
          <w:lang w:val="en-US"/>
        </w:rPr>
        <w:t>Jesus and the Message of the New Testament</w:t>
      </w:r>
      <w:r w:rsidRPr="005520FB">
        <w:rPr>
          <w:lang w:val="en-US"/>
        </w:rPr>
        <w:t xml:space="preserve"> [Jésus et le message du Nouveau Testament]. Minneapolis: Fortress Press, 2002.</w:t>
      </w:r>
    </w:p>
    <w:p w:rsidR="0082235F" w:rsidRPr="005520FB" w:rsidRDefault="0082235F" w:rsidP="0082235F">
      <w:pPr>
        <w:pStyle w:val="NormalWeb"/>
        <w:rPr>
          <w:lang w:val="en-US"/>
        </w:rPr>
      </w:pPr>
      <w:r w:rsidRPr="005362F1">
        <w:rPr>
          <w:lang w:val="en-US"/>
        </w:rPr>
        <w:t xml:space="preserve">Jeremias, Joachim. </w:t>
      </w:r>
      <w:r w:rsidRPr="005362F1">
        <w:rPr>
          <w:i/>
          <w:lang w:val="en-US"/>
        </w:rPr>
        <w:t>New Testament Theology</w:t>
      </w:r>
      <w:r w:rsidRPr="005362F1">
        <w:rPr>
          <w:lang w:val="en-US"/>
        </w:rPr>
        <w:t xml:space="preserve"> [Théologie du Nouveau Testament]. </w:t>
      </w:r>
      <w:r w:rsidRPr="005520FB">
        <w:rPr>
          <w:lang w:val="en-US"/>
        </w:rPr>
        <w:t>New York: Charles Scribner’s Sons, 1971.</w:t>
      </w:r>
    </w:p>
    <w:p w:rsidR="0082235F" w:rsidRPr="005520FB" w:rsidRDefault="0082235F" w:rsidP="0082235F">
      <w:pPr>
        <w:pStyle w:val="NormalWeb"/>
        <w:rPr>
          <w:lang w:val="en-US"/>
        </w:rPr>
      </w:pPr>
      <w:r w:rsidRPr="005520FB">
        <w:rPr>
          <w:lang w:val="en-US"/>
        </w:rPr>
        <w:t xml:space="preserve">Lloyd-Jones, D. Martyn. </w:t>
      </w:r>
      <w:r w:rsidRPr="005B1095">
        <w:rPr>
          <w:i/>
          <w:lang w:val="en-US"/>
        </w:rPr>
        <w:t>Studies in the Sermon on the Mount</w:t>
      </w:r>
      <w:r w:rsidRPr="005520FB">
        <w:rPr>
          <w:lang w:val="en-US"/>
        </w:rPr>
        <w:t xml:space="preserve"> [Etudes du Sermon sur la montagne]. Grand Rapids: William B. Eerdmans’ Publishing Company, 1976.</w:t>
      </w:r>
    </w:p>
    <w:p w:rsidR="0082235F" w:rsidRPr="005520FB" w:rsidRDefault="0082235F" w:rsidP="0082235F">
      <w:pPr>
        <w:pStyle w:val="NormalWeb"/>
        <w:rPr>
          <w:lang w:val="en-US"/>
        </w:rPr>
      </w:pPr>
      <w:r w:rsidRPr="005520FB">
        <w:rPr>
          <w:lang w:val="en-US"/>
        </w:rPr>
        <w:t xml:space="preserve">Manson, T. W. </w:t>
      </w:r>
      <w:r w:rsidRPr="005B1095">
        <w:rPr>
          <w:i/>
          <w:lang w:val="en-US"/>
        </w:rPr>
        <w:t>The Sayings of Jesus</w:t>
      </w:r>
      <w:r w:rsidRPr="005520FB">
        <w:rPr>
          <w:lang w:val="en-US"/>
        </w:rPr>
        <w:t xml:space="preserve"> [les adages de Jésus]. Grand Rapids: William B. Eerdmans’ Publishing Company, 1957.</w:t>
      </w:r>
    </w:p>
    <w:p w:rsidR="0082235F" w:rsidRPr="005520FB" w:rsidRDefault="0082235F" w:rsidP="0082235F">
      <w:pPr>
        <w:pStyle w:val="NormalWeb"/>
        <w:rPr>
          <w:lang w:val="en-US"/>
        </w:rPr>
      </w:pPr>
      <w:r w:rsidRPr="005520FB">
        <w:t xml:space="preserve">Manson, T. W. </w:t>
      </w:r>
      <w:r w:rsidRPr="005B1095">
        <w:rPr>
          <w:i/>
        </w:rPr>
        <w:t>The Teaching of Jesus</w:t>
      </w:r>
      <w:r w:rsidRPr="005520FB">
        <w:t xml:space="preserve"> [Les enseignements de Jésus]. </w:t>
      </w:r>
      <w:r w:rsidRPr="005520FB">
        <w:rPr>
          <w:lang w:val="en-US"/>
        </w:rPr>
        <w:t>Cambridge: University Press, 1967.</w:t>
      </w:r>
    </w:p>
    <w:p w:rsidR="0082235F" w:rsidRPr="005520FB" w:rsidRDefault="0082235F" w:rsidP="0082235F">
      <w:pPr>
        <w:pStyle w:val="NormalWeb"/>
        <w:rPr>
          <w:lang w:val="en-US"/>
        </w:rPr>
      </w:pPr>
      <w:r w:rsidRPr="005520FB">
        <w:rPr>
          <w:lang w:val="en-US"/>
        </w:rPr>
        <w:t xml:space="preserve">Michaels, J. Ramsey. </w:t>
      </w:r>
      <w:r w:rsidRPr="005B1095">
        <w:rPr>
          <w:i/>
          <w:lang w:val="en-US"/>
        </w:rPr>
        <w:t>The Gospel of John</w:t>
      </w:r>
      <w:r w:rsidRPr="005520FB">
        <w:rPr>
          <w:lang w:val="en-US"/>
        </w:rPr>
        <w:t xml:space="preserve"> [L’Evangile de Jean]. Grand Rapids: William B. Eerdmans’ Publishing Company, 2010.</w:t>
      </w:r>
    </w:p>
    <w:p w:rsidR="0082235F" w:rsidRPr="005520FB" w:rsidRDefault="0082235F" w:rsidP="0082235F">
      <w:pPr>
        <w:pStyle w:val="NormalWeb"/>
        <w:rPr>
          <w:lang w:val="en-US"/>
        </w:rPr>
      </w:pPr>
      <w:r w:rsidRPr="005520FB">
        <w:rPr>
          <w:lang w:val="en-US"/>
        </w:rPr>
        <w:t xml:space="preserve">Morris, Leon. </w:t>
      </w:r>
      <w:r w:rsidRPr="005B1095">
        <w:rPr>
          <w:i/>
          <w:lang w:val="en-US"/>
        </w:rPr>
        <w:t>The Gospel According to Matthew</w:t>
      </w:r>
      <w:r w:rsidRPr="005520FB">
        <w:rPr>
          <w:lang w:val="en-US"/>
        </w:rPr>
        <w:t xml:space="preserve"> [L’Evangile selon Matthieu]. Grand Rapids: William B. Eerdmans’ Publishing Company, 1992.</w:t>
      </w:r>
    </w:p>
    <w:p w:rsidR="0082235F" w:rsidRPr="005520FB" w:rsidRDefault="0082235F" w:rsidP="0082235F">
      <w:pPr>
        <w:pStyle w:val="NormalWeb"/>
      </w:pPr>
      <w:r w:rsidRPr="005520FB">
        <w:rPr>
          <w:lang w:val="en-US"/>
        </w:rPr>
        <w:t xml:space="preserve">Pentecost, J. Dwight. </w:t>
      </w:r>
      <w:r w:rsidRPr="005B1095">
        <w:rPr>
          <w:i/>
        </w:rPr>
        <w:t>The Words &amp; Works of Jesus Christ</w:t>
      </w:r>
      <w:r w:rsidRPr="005520FB">
        <w:t xml:space="preserve"> [Les Paroles et les actes de Jésus]. Grand Rapids: Zondervan, 1981.</w:t>
      </w:r>
    </w:p>
    <w:p w:rsidR="0082235F" w:rsidRPr="005520FB" w:rsidRDefault="0082235F" w:rsidP="0082235F">
      <w:pPr>
        <w:pStyle w:val="NormalWeb"/>
        <w:rPr>
          <w:lang w:val="en-US"/>
        </w:rPr>
      </w:pPr>
      <w:r w:rsidRPr="005520FB">
        <w:t xml:space="preserve">Sanders, E. P. </w:t>
      </w:r>
      <w:r w:rsidRPr="005B1095">
        <w:rPr>
          <w:i/>
        </w:rPr>
        <w:t>Jesus and Judaism</w:t>
      </w:r>
      <w:r w:rsidRPr="005520FB">
        <w:t xml:space="preserve"> [Jésus et le judaïsme]. </w:t>
      </w:r>
      <w:r w:rsidRPr="005520FB">
        <w:rPr>
          <w:lang w:val="en-US"/>
        </w:rPr>
        <w:t>Philadelphia: Fortress Press, 1985.</w:t>
      </w:r>
    </w:p>
    <w:p w:rsidR="0082235F" w:rsidRPr="005520FB" w:rsidRDefault="0082235F" w:rsidP="0082235F">
      <w:pPr>
        <w:pStyle w:val="NormalWeb"/>
        <w:rPr>
          <w:lang w:val="en-US"/>
        </w:rPr>
      </w:pPr>
      <w:r w:rsidRPr="005520FB">
        <w:rPr>
          <w:lang w:val="en-US"/>
        </w:rPr>
        <w:t xml:space="preserve">Sheen, Fulton J. </w:t>
      </w:r>
      <w:r w:rsidRPr="005B1095">
        <w:rPr>
          <w:i/>
          <w:lang w:val="en-US"/>
        </w:rPr>
        <w:t>Life of Christ</w:t>
      </w:r>
      <w:r w:rsidRPr="005520FB">
        <w:rPr>
          <w:lang w:val="en-US"/>
        </w:rPr>
        <w:t xml:space="preserve"> [Vie du Christ]. New York: Doubleday, 1958.</w:t>
      </w:r>
    </w:p>
    <w:p w:rsidR="0082235F" w:rsidRPr="005520FB" w:rsidRDefault="0082235F" w:rsidP="0082235F">
      <w:pPr>
        <w:pStyle w:val="NormalWeb"/>
        <w:rPr>
          <w:lang w:val="en-US"/>
        </w:rPr>
      </w:pPr>
      <w:r w:rsidRPr="005520FB">
        <w:rPr>
          <w:lang w:val="en-US"/>
        </w:rPr>
        <w:t xml:space="preserve">Spangler, Ann, and Lois Tverberg. </w:t>
      </w:r>
      <w:r w:rsidRPr="005B1095">
        <w:rPr>
          <w:i/>
          <w:lang w:val="en-US"/>
        </w:rPr>
        <w:t>Sitting at the Feet of Rabbi Jesus</w:t>
      </w:r>
      <w:r w:rsidRPr="005520FB">
        <w:rPr>
          <w:lang w:val="en-US"/>
        </w:rPr>
        <w:t xml:space="preserve"> [Assis aux pieds du rabbin Jésus]. Grand Rapids: Zondervan, 2009.</w:t>
      </w:r>
    </w:p>
    <w:p w:rsidR="0082235F" w:rsidRPr="005520FB" w:rsidRDefault="0082235F" w:rsidP="0082235F">
      <w:pPr>
        <w:pStyle w:val="NormalWeb"/>
        <w:rPr>
          <w:lang w:val="en-US"/>
        </w:rPr>
      </w:pPr>
      <w:r w:rsidRPr="005520FB">
        <w:rPr>
          <w:lang w:val="en-US"/>
        </w:rPr>
        <w:t xml:space="preserve">Stein, Robert H. </w:t>
      </w:r>
      <w:r w:rsidRPr="005B1095">
        <w:rPr>
          <w:i/>
          <w:lang w:val="en-US"/>
        </w:rPr>
        <w:t>Jesus the Messiah</w:t>
      </w:r>
      <w:r w:rsidRPr="005520FB">
        <w:rPr>
          <w:lang w:val="en-US"/>
        </w:rPr>
        <w:t xml:space="preserve"> [Jésus le Messie]. Downers Grove: InterVarsity Press, 1996.</w:t>
      </w:r>
    </w:p>
    <w:p w:rsidR="0082235F" w:rsidRPr="005520FB" w:rsidRDefault="0082235F" w:rsidP="0082235F">
      <w:pPr>
        <w:pStyle w:val="NormalWeb"/>
      </w:pPr>
      <w:r w:rsidRPr="005520FB">
        <w:t xml:space="preserve">Stein, Robert H. </w:t>
      </w:r>
      <w:r w:rsidRPr="005B1095">
        <w:rPr>
          <w:i/>
        </w:rPr>
        <w:t>The Method and Message of Jesus’ Teachings, Revised Edition</w:t>
      </w:r>
      <w:r w:rsidRPr="005520FB">
        <w:t xml:space="preserve"> [La méthode et le message des enseignements de Jésus, édition révisée]. Louisville: Westminster John Knox Press, 1994.</w:t>
      </w:r>
    </w:p>
    <w:p w:rsidR="0082235F" w:rsidRPr="005520FB" w:rsidRDefault="0082235F" w:rsidP="0082235F">
      <w:pPr>
        <w:pStyle w:val="NormalWeb"/>
        <w:rPr>
          <w:lang w:val="en-US"/>
        </w:rPr>
      </w:pPr>
      <w:r w:rsidRPr="005520FB">
        <w:t xml:space="preserve">Stott, Jean R. W. </w:t>
      </w:r>
      <w:r w:rsidRPr="005B1095">
        <w:rPr>
          <w:i/>
        </w:rPr>
        <w:t>The Message of the Sermon on the Mount</w:t>
      </w:r>
      <w:r w:rsidRPr="005520FB">
        <w:t xml:space="preserve"> [Le message du Sermon sur la montagne]. </w:t>
      </w:r>
      <w:r w:rsidRPr="005520FB">
        <w:rPr>
          <w:lang w:val="en-US"/>
        </w:rPr>
        <w:t>Downers Grove: InterVarsity Press, 1978.</w:t>
      </w:r>
    </w:p>
    <w:p w:rsidR="0082235F" w:rsidRPr="005520FB" w:rsidRDefault="0082235F" w:rsidP="0082235F">
      <w:pPr>
        <w:pStyle w:val="NormalWeb"/>
        <w:rPr>
          <w:lang w:val="en-US"/>
        </w:rPr>
      </w:pPr>
      <w:r w:rsidRPr="005520FB">
        <w:rPr>
          <w:lang w:val="en-US"/>
        </w:rPr>
        <w:t xml:space="preserve">Wood, D. R. W., I. H. Marshall, A. R. Millard, J. I. Packer, and D. J. Wiseman, eds. </w:t>
      </w:r>
      <w:r w:rsidRPr="005B1095">
        <w:rPr>
          <w:i/>
          <w:lang w:val="en-US"/>
        </w:rPr>
        <w:t>New Bible Dictionary</w:t>
      </w:r>
      <w:r w:rsidRPr="005520FB">
        <w:rPr>
          <w:lang w:val="en-US"/>
        </w:rPr>
        <w:t xml:space="preserve"> [Nouveau dictionnaire biblique]. Downers Grove: InterVarsity Press, 1996.</w:t>
      </w:r>
    </w:p>
    <w:p w:rsidR="0082235F" w:rsidRPr="005520FB" w:rsidRDefault="0082235F" w:rsidP="0082235F">
      <w:pPr>
        <w:pStyle w:val="NormalWeb"/>
        <w:rPr>
          <w:lang w:val="en-US"/>
        </w:rPr>
      </w:pPr>
      <w:r w:rsidRPr="005520FB">
        <w:rPr>
          <w:lang w:val="en-US"/>
        </w:rPr>
        <w:t xml:space="preserve">Wright, N. T. </w:t>
      </w:r>
      <w:r w:rsidRPr="005B1095">
        <w:rPr>
          <w:i/>
          <w:lang w:val="en-US"/>
        </w:rPr>
        <w:t>Jesus and the Victory of God</w:t>
      </w:r>
      <w:r w:rsidRPr="005520FB">
        <w:rPr>
          <w:lang w:val="en-US"/>
        </w:rPr>
        <w:t xml:space="preserve"> [Jésus et la victoire de Dieu]. Minneapolis: Fortress Press, 1996.</w:t>
      </w:r>
    </w:p>
    <w:p w:rsidR="0082235F" w:rsidRPr="005520FB" w:rsidRDefault="0082235F" w:rsidP="0082235F">
      <w:pPr>
        <w:pStyle w:val="NormalWeb"/>
        <w:rPr>
          <w:lang w:val="en-US"/>
        </w:rPr>
      </w:pPr>
      <w:r w:rsidRPr="005520FB">
        <w:rPr>
          <w:lang w:val="en-US"/>
        </w:rPr>
        <w:t xml:space="preserve">Wright, N. T. </w:t>
      </w:r>
      <w:r w:rsidRPr="005B1095">
        <w:rPr>
          <w:i/>
          <w:lang w:val="en-US"/>
        </w:rPr>
        <w:t>Matthew for Everyone, Part 1</w:t>
      </w:r>
      <w:r w:rsidRPr="005520FB">
        <w:rPr>
          <w:lang w:val="en-US"/>
        </w:rPr>
        <w:t>[Matthieu pour tous, 1ère partie] Louisville: Westminster Jean Knox Press, 2004.</w:t>
      </w:r>
    </w:p>
    <w:p w:rsidR="0082235F" w:rsidRPr="005520FB" w:rsidRDefault="0082235F" w:rsidP="0082235F">
      <w:pPr>
        <w:pStyle w:val="NormalWeb"/>
        <w:rPr>
          <w:lang w:val="en-US"/>
        </w:rPr>
      </w:pPr>
      <w:r w:rsidRPr="005520FB">
        <w:rPr>
          <w:lang w:val="en-US"/>
        </w:rPr>
        <w:t xml:space="preserve">Wright, N. T. </w:t>
      </w:r>
      <w:r w:rsidRPr="005B1095">
        <w:rPr>
          <w:i/>
          <w:lang w:val="en-US"/>
        </w:rPr>
        <w:t>The Resurrection of the Son of God</w:t>
      </w:r>
      <w:r w:rsidRPr="005520FB">
        <w:rPr>
          <w:lang w:val="en-US"/>
        </w:rPr>
        <w:t xml:space="preserve"> [La résurrection du Fils de Dieu]. Minneapolis: Fortress Press, 2003.</w:t>
      </w:r>
    </w:p>
    <w:p w:rsidR="0082235F" w:rsidRPr="005520FB" w:rsidRDefault="0082235F" w:rsidP="0082235F">
      <w:pPr>
        <w:pStyle w:val="NormalWeb"/>
        <w:rPr>
          <w:lang w:val="en-US"/>
        </w:rPr>
      </w:pPr>
      <w:r w:rsidRPr="005520FB">
        <w:t xml:space="preserve">Yancey, Philip. </w:t>
      </w:r>
      <w:r w:rsidRPr="005B1095">
        <w:rPr>
          <w:i/>
        </w:rPr>
        <w:t>The Jesus I Never Knew</w:t>
      </w:r>
      <w:r w:rsidRPr="005520FB">
        <w:t xml:space="preserve"> [Ce Jésus que je ne connaissais pas]. </w:t>
      </w:r>
      <w:r w:rsidRPr="005520FB">
        <w:rPr>
          <w:lang w:val="en-US"/>
        </w:rPr>
        <w:t>Grand Rapids: Zondervan, 1995.</w:t>
      </w:r>
    </w:p>
    <w:p w:rsidR="00BC2F12" w:rsidRPr="005520FB" w:rsidRDefault="0082235F" w:rsidP="0082235F">
      <w:pPr>
        <w:pStyle w:val="NormalWeb"/>
      </w:pPr>
      <w:r w:rsidRPr="005520FB">
        <w:rPr>
          <w:lang w:val="en-US"/>
        </w:rPr>
        <w:t xml:space="preserve">Young, Brad H. </w:t>
      </w:r>
      <w:r w:rsidRPr="005B1095">
        <w:rPr>
          <w:i/>
          <w:lang w:val="en-US"/>
        </w:rPr>
        <w:t>Jesus the Jewish Theologian</w:t>
      </w:r>
      <w:r w:rsidRPr="005520FB">
        <w:rPr>
          <w:lang w:val="en-US"/>
        </w:rPr>
        <w:t xml:space="preserve"> [Jésus le théologien juif]. </w:t>
      </w:r>
      <w:r w:rsidRPr="005520FB">
        <w:t>Grand Rapids: Baker Academic, 1995</w:t>
      </w:r>
      <w:r w:rsidR="00BF3A7E" w:rsidRPr="005520FB">
        <w:t>.</w:t>
      </w:r>
    </w:p>
    <w:p w:rsidR="00BC2F12" w:rsidRPr="005520FB" w:rsidRDefault="00B50FD9">
      <w:r>
        <w:pict>
          <v:rect id="_x0000_i1027" style="width:0;height:1.5pt" o:hralign="center" o:hrstd="t" o:hr="t" fillcolor="#a0a0a0" stroked="f"/>
        </w:pict>
      </w:r>
    </w:p>
    <w:p w:rsidR="00BC2F12" w:rsidRPr="005520FB" w:rsidRDefault="00BF3A7E" w:rsidP="00CC73A9">
      <w:pPr>
        <w:pStyle w:val="NormalWeb"/>
        <w:divId w:val="1450709844"/>
      </w:pPr>
      <w:r w:rsidRPr="005520FB">
        <w:t xml:space="preserve"> </w:t>
      </w:r>
      <w:r w:rsidR="00CC73A9" w:rsidRPr="005520FB">
        <w:t xml:space="preserve">Traduit de l’original anglais </w:t>
      </w:r>
      <w:r w:rsidR="00A90440" w:rsidRPr="005520FB">
        <w:t>« Jesus – his life and message: Jesus’ birth, part 2 », par Bruno et Françoise Corticelli</w:t>
      </w:r>
    </w:p>
    <w:p w:rsidR="00BF3A7E" w:rsidRPr="005520FB" w:rsidRDefault="00BF3A7E" w:rsidP="00A90440">
      <w:pPr>
        <w:pStyle w:val="msocomoff"/>
      </w:pPr>
      <w:r w:rsidRPr="005520FB">
        <w:t> Copyright © 2014 The Family International.</w:t>
      </w:r>
    </w:p>
    <w:sectPr w:rsidR="00BF3A7E" w:rsidRPr="005520FB">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D9" w:rsidRDefault="00B50FD9" w:rsidP="00E406EB">
      <w:r>
        <w:separator/>
      </w:r>
    </w:p>
  </w:endnote>
  <w:endnote w:type="continuationSeparator" w:id="0">
    <w:p w:rsidR="00B50FD9" w:rsidRDefault="00B50FD9" w:rsidP="00E406EB">
      <w:r>
        <w:continuationSeparator/>
      </w:r>
    </w:p>
  </w:endnote>
  <w:endnote w:id="1">
    <w:p w:rsidR="00E406EB" w:rsidRPr="00600766" w:rsidRDefault="00E406EB" w:rsidP="00600766">
      <w:pPr>
        <w:pStyle w:val="EndnoteText"/>
        <w:spacing w:after="240" w:line="276" w:lineRule="auto"/>
        <w:rPr>
          <w:sz w:val="22"/>
        </w:rPr>
      </w:pPr>
      <w:r w:rsidRPr="00600766">
        <w:rPr>
          <w:rStyle w:val="EndnoteReference"/>
          <w:sz w:val="22"/>
        </w:rPr>
        <w:endnoteRef/>
      </w:r>
      <w:r w:rsidRPr="00600766">
        <w:rPr>
          <w:sz w:val="22"/>
        </w:rPr>
        <w:t xml:space="preserve"> Tu feras approcher Aaron et ses fils de l'entrée de la tente de la Rencontre, et tu les feras se laver dans l'eau ; puis tu revêtiras Aaron des vêtements sacrés, tu l’oindras pour le consacrer et il exercera pour moi la fonction de prêtre. (Exode 40:12–13).</w:t>
      </w:r>
    </w:p>
  </w:endnote>
  <w:endnote w:id="2">
    <w:p w:rsidR="00390B6C" w:rsidRPr="00600766" w:rsidRDefault="00390B6C" w:rsidP="00600766">
      <w:pPr>
        <w:pStyle w:val="EndnoteText"/>
        <w:spacing w:after="240" w:line="276" w:lineRule="auto"/>
        <w:rPr>
          <w:sz w:val="22"/>
        </w:rPr>
      </w:pPr>
      <w:r w:rsidRPr="00600766">
        <w:rPr>
          <w:rStyle w:val="EndnoteReference"/>
          <w:sz w:val="22"/>
        </w:rPr>
        <w:endnoteRef/>
      </w:r>
      <w:r w:rsidRPr="00600766">
        <w:rPr>
          <w:sz w:val="22"/>
        </w:rPr>
        <w:t xml:space="preserve"> Luc 1:6–7.</w:t>
      </w:r>
    </w:p>
  </w:endnote>
  <w:endnote w:id="3">
    <w:p w:rsidR="00246ED9" w:rsidRPr="00600766" w:rsidRDefault="00246ED9" w:rsidP="00600766">
      <w:pPr>
        <w:pStyle w:val="EndnoteText"/>
        <w:spacing w:after="240" w:line="276" w:lineRule="auto"/>
        <w:rPr>
          <w:sz w:val="22"/>
        </w:rPr>
      </w:pPr>
      <w:r w:rsidRPr="00600766">
        <w:rPr>
          <w:rStyle w:val="EndnoteReference"/>
          <w:sz w:val="22"/>
        </w:rPr>
        <w:endnoteRef/>
      </w:r>
      <w:r w:rsidRPr="00600766">
        <w:rPr>
          <w:sz w:val="22"/>
        </w:rPr>
        <w:t xml:space="preserve"> Genèse 16:4; 29:31; 30:1, 22–23; 1 Samuel 1:5–6.</w:t>
      </w:r>
    </w:p>
  </w:endnote>
  <w:endnote w:id="4">
    <w:p w:rsidR="00246ED9" w:rsidRPr="00600766" w:rsidRDefault="00246ED9" w:rsidP="00600766">
      <w:pPr>
        <w:pStyle w:val="EndnoteText"/>
        <w:spacing w:after="240" w:line="276" w:lineRule="auto"/>
        <w:rPr>
          <w:sz w:val="22"/>
        </w:rPr>
      </w:pPr>
      <w:r w:rsidRPr="00600766">
        <w:rPr>
          <w:rStyle w:val="EndnoteReference"/>
          <w:sz w:val="22"/>
        </w:rPr>
        <w:endnoteRef/>
      </w:r>
      <w:r w:rsidRPr="00600766">
        <w:rPr>
          <w:sz w:val="22"/>
        </w:rPr>
        <w:t xml:space="preserve"> Genèse 18:11–14.</w:t>
      </w:r>
    </w:p>
  </w:endnote>
  <w:endnote w:id="5">
    <w:p w:rsidR="00246ED9" w:rsidRPr="00600766" w:rsidRDefault="00246ED9" w:rsidP="00600766">
      <w:pPr>
        <w:pStyle w:val="EndnoteText"/>
        <w:spacing w:after="240" w:line="276" w:lineRule="auto"/>
        <w:rPr>
          <w:sz w:val="22"/>
        </w:rPr>
      </w:pPr>
      <w:r w:rsidRPr="00600766">
        <w:rPr>
          <w:rStyle w:val="EndnoteReference"/>
          <w:sz w:val="22"/>
        </w:rPr>
        <w:endnoteRef/>
      </w:r>
      <w:r w:rsidRPr="00600766">
        <w:rPr>
          <w:sz w:val="22"/>
        </w:rPr>
        <w:t xml:space="preserve"> 1 Samuel 1:1–2.</w:t>
      </w:r>
    </w:p>
  </w:endnote>
  <w:endnote w:id="6">
    <w:p w:rsidR="00A44DC0" w:rsidRPr="00600766" w:rsidRDefault="00A44DC0" w:rsidP="00600766">
      <w:pPr>
        <w:pStyle w:val="EndnoteText"/>
        <w:spacing w:after="240" w:line="276" w:lineRule="auto"/>
        <w:rPr>
          <w:sz w:val="22"/>
        </w:rPr>
      </w:pPr>
      <w:r w:rsidRPr="00600766">
        <w:rPr>
          <w:rStyle w:val="EndnoteReference"/>
          <w:sz w:val="22"/>
        </w:rPr>
        <w:endnoteRef/>
      </w:r>
      <w:r w:rsidRPr="00600766">
        <w:rPr>
          <w:sz w:val="22"/>
        </w:rPr>
        <w:t xml:space="preserve"> Genèse 25:21.</w:t>
      </w:r>
    </w:p>
  </w:endnote>
  <w:endnote w:id="7">
    <w:p w:rsidR="00A44DC0" w:rsidRPr="00600766" w:rsidRDefault="00A44DC0" w:rsidP="00600766">
      <w:pPr>
        <w:pStyle w:val="EndnoteText"/>
        <w:spacing w:after="240" w:line="276" w:lineRule="auto"/>
        <w:rPr>
          <w:sz w:val="22"/>
        </w:rPr>
      </w:pPr>
      <w:r w:rsidRPr="00600766">
        <w:rPr>
          <w:rStyle w:val="EndnoteReference"/>
          <w:sz w:val="22"/>
        </w:rPr>
        <w:endnoteRef/>
      </w:r>
      <w:r w:rsidRPr="00600766">
        <w:rPr>
          <w:sz w:val="22"/>
        </w:rPr>
        <w:t xml:space="preserve"> Genèse 30:22–23.</w:t>
      </w:r>
    </w:p>
  </w:endnote>
  <w:endnote w:id="8">
    <w:p w:rsidR="00135C18" w:rsidRPr="00600766" w:rsidRDefault="00135C18" w:rsidP="00600766">
      <w:pPr>
        <w:pStyle w:val="EndnoteText"/>
        <w:spacing w:after="240" w:line="276" w:lineRule="auto"/>
        <w:rPr>
          <w:sz w:val="22"/>
        </w:rPr>
      </w:pPr>
      <w:r w:rsidRPr="00600766">
        <w:rPr>
          <w:rStyle w:val="EndnoteReference"/>
          <w:sz w:val="22"/>
        </w:rPr>
        <w:endnoteRef/>
      </w:r>
      <w:r w:rsidRPr="00600766">
        <w:rPr>
          <w:sz w:val="22"/>
        </w:rPr>
        <w:t xml:space="preserve"> Juges 13:2–3.</w:t>
      </w:r>
    </w:p>
  </w:endnote>
  <w:endnote w:id="9">
    <w:p w:rsidR="00F53286" w:rsidRPr="00600766" w:rsidRDefault="00F53286"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L’Evangile de Luc</w:t>
      </w:r>
      <w:r w:rsidRPr="00600766">
        <w:rPr>
          <w:sz w:val="22"/>
        </w:rPr>
        <w:t>, 68.</w:t>
      </w:r>
    </w:p>
  </w:endnote>
  <w:endnote w:id="10">
    <w:p w:rsidR="00F53286" w:rsidRPr="00600766" w:rsidRDefault="00F53286" w:rsidP="00600766">
      <w:pPr>
        <w:pStyle w:val="EndnoteText"/>
        <w:spacing w:after="240" w:line="276" w:lineRule="auto"/>
        <w:rPr>
          <w:sz w:val="22"/>
        </w:rPr>
      </w:pPr>
      <w:r w:rsidRPr="00600766">
        <w:rPr>
          <w:rStyle w:val="EndnoteReference"/>
          <w:sz w:val="22"/>
        </w:rPr>
        <w:endnoteRef/>
      </w:r>
      <w:r w:rsidRPr="00600766">
        <w:rPr>
          <w:sz w:val="22"/>
        </w:rPr>
        <w:t xml:space="preserve"> Luc 1:9.</w:t>
      </w:r>
    </w:p>
  </w:endnote>
  <w:endnote w:id="11">
    <w:p w:rsidR="00AE1507" w:rsidRPr="00600766" w:rsidRDefault="00AE1507"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L’Evangile de Luc</w:t>
      </w:r>
      <w:r w:rsidRPr="00600766">
        <w:rPr>
          <w:sz w:val="22"/>
        </w:rPr>
        <w:t>, 70.</w:t>
      </w:r>
    </w:p>
  </w:endnote>
  <w:endnote w:id="12">
    <w:p w:rsidR="00AE1507" w:rsidRPr="00600766" w:rsidRDefault="00AE1507" w:rsidP="00600766">
      <w:pPr>
        <w:pStyle w:val="EndnoteText"/>
        <w:spacing w:after="240" w:line="276" w:lineRule="auto"/>
        <w:rPr>
          <w:sz w:val="22"/>
        </w:rPr>
      </w:pPr>
      <w:r w:rsidRPr="00600766">
        <w:rPr>
          <w:rStyle w:val="EndnoteReference"/>
          <w:sz w:val="22"/>
        </w:rPr>
        <w:endnoteRef/>
      </w:r>
      <w:r w:rsidRPr="00600766">
        <w:rPr>
          <w:sz w:val="22"/>
        </w:rPr>
        <w:t xml:space="preserve"> Luc 1:11–12.</w:t>
      </w:r>
    </w:p>
  </w:endnote>
  <w:endnote w:id="13">
    <w:p w:rsidR="00EC433D" w:rsidRPr="00600766" w:rsidRDefault="00EC433D" w:rsidP="00600766">
      <w:pPr>
        <w:pStyle w:val="EndnoteText"/>
        <w:spacing w:after="240" w:line="276" w:lineRule="auto"/>
        <w:rPr>
          <w:sz w:val="22"/>
        </w:rPr>
      </w:pPr>
      <w:r w:rsidRPr="00600766">
        <w:rPr>
          <w:rStyle w:val="EndnoteReference"/>
          <w:sz w:val="22"/>
        </w:rPr>
        <w:endnoteRef/>
      </w:r>
      <w:r w:rsidRPr="00600766">
        <w:rPr>
          <w:sz w:val="22"/>
        </w:rPr>
        <w:t xml:space="preserve"> Daniel 8:16–17</w:t>
      </w:r>
      <w:r w:rsidR="00C2459A" w:rsidRPr="00600766">
        <w:rPr>
          <w:sz w:val="22"/>
        </w:rPr>
        <w:t xml:space="preserve"> BFC</w:t>
      </w:r>
      <w:r w:rsidRPr="00600766">
        <w:rPr>
          <w:sz w:val="22"/>
        </w:rPr>
        <w:t>.</w:t>
      </w:r>
    </w:p>
  </w:endnote>
  <w:endnote w:id="14">
    <w:p w:rsidR="00C2459A" w:rsidRPr="00600766" w:rsidRDefault="00C2459A" w:rsidP="00600766">
      <w:pPr>
        <w:pStyle w:val="EndnoteText"/>
        <w:spacing w:after="240" w:line="276" w:lineRule="auto"/>
        <w:rPr>
          <w:sz w:val="22"/>
        </w:rPr>
      </w:pPr>
      <w:r w:rsidRPr="00600766">
        <w:rPr>
          <w:rStyle w:val="EndnoteReference"/>
          <w:sz w:val="22"/>
        </w:rPr>
        <w:endnoteRef/>
      </w:r>
      <w:r w:rsidRPr="00600766">
        <w:rPr>
          <w:sz w:val="22"/>
        </w:rPr>
        <w:t xml:space="preserve"> </w:t>
      </w:r>
      <w:r w:rsidR="006B1CC7" w:rsidRPr="00600766">
        <w:rPr>
          <w:sz w:val="22"/>
        </w:rPr>
        <w:t>Luc 1:13–15.</w:t>
      </w:r>
    </w:p>
  </w:endnote>
  <w:endnote w:id="15">
    <w:p w:rsidR="007F500A" w:rsidRPr="00600766" w:rsidRDefault="007F500A" w:rsidP="00600766">
      <w:pPr>
        <w:pStyle w:val="EndnoteText"/>
        <w:spacing w:after="240" w:line="276" w:lineRule="auto"/>
        <w:rPr>
          <w:sz w:val="22"/>
        </w:rPr>
      </w:pPr>
      <w:r w:rsidRPr="00600766">
        <w:rPr>
          <w:rStyle w:val="EndnoteReference"/>
          <w:sz w:val="22"/>
        </w:rPr>
        <w:endnoteRef/>
      </w:r>
      <w:r w:rsidRPr="00600766">
        <w:rPr>
          <w:sz w:val="22"/>
        </w:rPr>
        <w:t xml:space="preserve"> Luc 1:15.</w:t>
      </w:r>
    </w:p>
  </w:endnote>
  <w:endnote w:id="16">
    <w:p w:rsidR="007F500A" w:rsidRPr="00600766" w:rsidRDefault="007F500A" w:rsidP="00600766">
      <w:pPr>
        <w:pStyle w:val="EndnoteText"/>
        <w:spacing w:after="240" w:line="276" w:lineRule="auto"/>
        <w:rPr>
          <w:sz w:val="22"/>
        </w:rPr>
      </w:pPr>
      <w:r w:rsidRPr="00600766">
        <w:rPr>
          <w:rStyle w:val="EndnoteReference"/>
          <w:sz w:val="22"/>
        </w:rPr>
        <w:endnoteRef/>
      </w:r>
      <w:r w:rsidRPr="00600766">
        <w:rPr>
          <w:sz w:val="22"/>
        </w:rPr>
        <w:t xml:space="preserve"> Nombres 6:1–4.</w:t>
      </w:r>
    </w:p>
  </w:endnote>
  <w:endnote w:id="17">
    <w:p w:rsidR="007F500A" w:rsidRPr="00600766" w:rsidRDefault="007F500A"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75.</w:t>
      </w:r>
    </w:p>
  </w:endnote>
  <w:endnote w:id="18">
    <w:p w:rsidR="00092537" w:rsidRPr="00600766" w:rsidRDefault="00092537" w:rsidP="00600766">
      <w:pPr>
        <w:pStyle w:val="EndnoteText"/>
        <w:spacing w:after="240" w:line="276" w:lineRule="auto"/>
        <w:rPr>
          <w:sz w:val="22"/>
        </w:rPr>
      </w:pPr>
      <w:r w:rsidRPr="00600766">
        <w:rPr>
          <w:rStyle w:val="EndnoteReference"/>
          <w:sz w:val="22"/>
        </w:rPr>
        <w:endnoteRef/>
      </w:r>
      <w:r w:rsidRPr="00600766">
        <w:rPr>
          <w:sz w:val="22"/>
        </w:rPr>
        <w:t xml:space="preserve"> Luc 1:16–17</w:t>
      </w:r>
      <w:r w:rsidR="005A74F3" w:rsidRPr="00600766">
        <w:rPr>
          <w:sz w:val="22"/>
        </w:rPr>
        <w:t xml:space="preserve"> BFC</w:t>
      </w:r>
      <w:r w:rsidRPr="00600766">
        <w:rPr>
          <w:sz w:val="22"/>
        </w:rPr>
        <w:t>.</w:t>
      </w:r>
    </w:p>
  </w:endnote>
  <w:endnote w:id="19">
    <w:p w:rsidR="005A74F3" w:rsidRPr="00600766" w:rsidRDefault="005A74F3" w:rsidP="00600766">
      <w:pPr>
        <w:pStyle w:val="EndnoteText"/>
        <w:spacing w:after="240" w:line="276" w:lineRule="auto"/>
        <w:rPr>
          <w:sz w:val="22"/>
        </w:rPr>
      </w:pPr>
      <w:r w:rsidRPr="00600766">
        <w:rPr>
          <w:rStyle w:val="EndnoteReference"/>
          <w:sz w:val="22"/>
        </w:rPr>
        <w:endnoteRef/>
      </w:r>
      <w:r w:rsidRPr="00600766">
        <w:rPr>
          <w:sz w:val="22"/>
        </w:rPr>
        <w:t xml:space="preserve"> Malachie 4:5–6</w:t>
      </w:r>
      <w:r w:rsidR="00073F66">
        <w:rPr>
          <w:sz w:val="22"/>
        </w:rPr>
        <w:t xml:space="preserve"> PDV</w:t>
      </w:r>
      <w:r w:rsidRPr="00600766">
        <w:rPr>
          <w:sz w:val="22"/>
        </w:rPr>
        <w:t>.</w:t>
      </w:r>
    </w:p>
  </w:endnote>
  <w:endnote w:id="20">
    <w:p w:rsidR="00F80250" w:rsidRPr="00600766" w:rsidRDefault="00F80250"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76, 78.</w:t>
      </w:r>
    </w:p>
  </w:endnote>
  <w:endnote w:id="21">
    <w:p w:rsidR="00F80250" w:rsidRPr="00600766" w:rsidRDefault="00F80250" w:rsidP="00600766">
      <w:pPr>
        <w:pStyle w:val="EndnoteText"/>
        <w:spacing w:after="240" w:line="276" w:lineRule="auto"/>
        <w:rPr>
          <w:sz w:val="22"/>
        </w:rPr>
      </w:pPr>
      <w:r w:rsidRPr="00600766">
        <w:rPr>
          <w:rStyle w:val="EndnoteReference"/>
          <w:sz w:val="22"/>
        </w:rPr>
        <w:endnoteRef/>
      </w:r>
      <w:r w:rsidRPr="00600766">
        <w:rPr>
          <w:sz w:val="22"/>
        </w:rPr>
        <w:t xml:space="preserve"> </w:t>
      </w:r>
      <w:r w:rsidRPr="00FC1FF7">
        <w:rPr>
          <w:sz w:val="22"/>
        </w:rPr>
        <w:t>Luc 1:18</w:t>
      </w:r>
      <w:r w:rsidR="00F317C2" w:rsidRPr="00FC1FF7">
        <w:rPr>
          <w:sz w:val="22"/>
        </w:rPr>
        <w:t xml:space="preserve"> BFC</w:t>
      </w:r>
      <w:r w:rsidRPr="00FC1FF7">
        <w:rPr>
          <w:sz w:val="22"/>
        </w:rPr>
        <w:t>.</w:t>
      </w:r>
    </w:p>
  </w:endnote>
  <w:endnote w:id="22">
    <w:p w:rsidR="007A00D2" w:rsidRPr="00600766" w:rsidRDefault="007A00D2" w:rsidP="00600766">
      <w:pPr>
        <w:pStyle w:val="EndnoteText"/>
        <w:spacing w:after="240" w:line="276" w:lineRule="auto"/>
        <w:rPr>
          <w:sz w:val="22"/>
        </w:rPr>
      </w:pPr>
      <w:r w:rsidRPr="00600766">
        <w:rPr>
          <w:rStyle w:val="EndnoteReference"/>
          <w:sz w:val="22"/>
        </w:rPr>
        <w:endnoteRef/>
      </w:r>
      <w:r w:rsidRPr="00600766">
        <w:rPr>
          <w:sz w:val="22"/>
        </w:rPr>
        <w:t xml:space="preserve"> Luc 1:19–20.</w:t>
      </w:r>
    </w:p>
  </w:endnote>
  <w:endnote w:id="23">
    <w:p w:rsidR="00664C42" w:rsidRPr="00664C42" w:rsidRDefault="00664C42" w:rsidP="00664C42">
      <w:pPr>
        <w:pStyle w:val="EndnoteText"/>
        <w:spacing w:line="360" w:lineRule="auto"/>
        <w:rPr>
          <w:sz w:val="22"/>
        </w:rPr>
      </w:pPr>
      <w:r w:rsidRPr="00664C42">
        <w:rPr>
          <w:rStyle w:val="EndnoteReference"/>
          <w:sz w:val="22"/>
        </w:rPr>
        <w:endnoteRef/>
      </w:r>
      <w:r w:rsidRPr="00664C42">
        <w:rPr>
          <w:sz w:val="22"/>
        </w:rPr>
        <w:t xml:space="preserve"> Luc 1:62-63.</w:t>
      </w:r>
    </w:p>
  </w:endnote>
  <w:endnote w:id="24">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Bock, </w:t>
      </w:r>
      <w:r w:rsidRPr="00600766">
        <w:rPr>
          <w:rStyle w:val="Emphasis"/>
          <w:sz w:val="22"/>
        </w:rPr>
        <w:t xml:space="preserve">Jésus d’après les </w:t>
      </w:r>
      <w:r w:rsidR="00A2586F">
        <w:rPr>
          <w:rStyle w:val="Emphasis"/>
          <w:sz w:val="22"/>
        </w:rPr>
        <w:t>E</w:t>
      </w:r>
      <w:r w:rsidRPr="00600766">
        <w:rPr>
          <w:rStyle w:val="Emphasis"/>
          <w:sz w:val="22"/>
        </w:rPr>
        <w:t>critures</w:t>
      </w:r>
      <w:r w:rsidRPr="00600766">
        <w:rPr>
          <w:sz w:val="22"/>
        </w:rPr>
        <w:t>, 59.</w:t>
      </w:r>
    </w:p>
  </w:endnote>
  <w:endnote w:id="25">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Genèse 15:7–17.</w:t>
      </w:r>
    </w:p>
  </w:endnote>
  <w:endnote w:id="26">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Exode 4:1–17.</w:t>
      </w:r>
    </w:p>
  </w:endnote>
  <w:endnote w:id="27">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Juges 6:36–40.</w:t>
      </w:r>
    </w:p>
  </w:endnote>
  <w:endnote w:id="28">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2 Rois 20:1–11.</w:t>
      </w:r>
    </w:p>
  </w:endnote>
  <w:endnote w:id="29">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Esaïe 7:10–17.</w:t>
      </w:r>
    </w:p>
  </w:endnote>
  <w:endnote w:id="30">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Luc 1:36; 2:12.</w:t>
      </w:r>
    </w:p>
  </w:endnote>
  <w:endnote w:id="31">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Luc 11:16, 29–30; 23:8.</w:t>
      </w:r>
    </w:p>
  </w:endnote>
  <w:endnote w:id="32">
    <w:p w:rsidR="00F74B84" w:rsidRPr="00600766" w:rsidRDefault="00F74B84"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79.</w:t>
      </w:r>
    </w:p>
  </w:endnote>
  <w:endnote w:id="33">
    <w:p w:rsidR="00F20F64" w:rsidRPr="00600766" w:rsidRDefault="00F20F64" w:rsidP="00600766">
      <w:pPr>
        <w:pStyle w:val="EndnoteText"/>
        <w:spacing w:after="240" w:line="276" w:lineRule="auto"/>
        <w:rPr>
          <w:sz w:val="22"/>
        </w:rPr>
      </w:pPr>
      <w:r w:rsidRPr="00600766">
        <w:rPr>
          <w:rStyle w:val="EndnoteReference"/>
          <w:sz w:val="22"/>
        </w:rPr>
        <w:endnoteRef/>
      </w:r>
      <w:r w:rsidRPr="00600766">
        <w:rPr>
          <w:sz w:val="22"/>
        </w:rPr>
        <w:t xml:space="preserve"> Luc 1:25.</w:t>
      </w:r>
    </w:p>
  </w:endnote>
  <w:endnote w:id="34">
    <w:p w:rsidR="000E38B9" w:rsidRPr="00600766" w:rsidRDefault="000E38B9"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81.</w:t>
      </w:r>
    </w:p>
  </w:endnote>
  <w:endnote w:id="35">
    <w:p w:rsidR="000E38B9" w:rsidRPr="00600766" w:rsidRDefault="000E38B9" w:rsidP="00600766">
      <w:pPr>
        <w:pStyle w:val="EndnoteText"/>
        <w:spacing w:after="240" w:line="276" w:lineRule="auto"/>
        <w:rPr>
          <w:sz w:val="22"/>
        </w:rPr>
      </w:pPr>
      <w:r w:rsidRPr="00600766">
        <w:rPr>
          <w:rStyle w:val="EndnoteReference"/>
          <w:sz w:val="22"/>
        </w:rPr>
        <w:endnoteRef/>
      </w:r>
      <w:r w:rsidRPr="00600766">
        <w:rPr>
          <w:sz w:val="22"/>
        </w:rPr>
        <w:t xml:space="preserve"> Luc 1:32–33.</w:t>
      </w:r>
    </w:p>
  </w:endnote>
  <w:endnote w:id="36">
    <w:p w:rsidR="009A6D28" w:rsidRPr="00600766" w:rsidRDefault="009A6D28"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81, 60.</w:t>
      </w:r>
    </w:p>
  </w:endnote>
  <w:endnote w:id="37">
    <w:p w:rsidR="009002BA" w:rsidRPr="00600766" w:rsidRDefault="009002BA" w:rsidP="00600766">
      <w:pPr>
        <w:pStyle w:val="EndnoteText"/>
        <w:spacing w:after="240" w:line="276" w:lineRule="auto"/>
        <w:rPr>
          <w:sz w:val="22"/>
        </w:rPr>
      </w:pPr>
      <w:r w:rsidRPr="00600766">
        <w:rPr>
          <w:rStyle w:val="EndnoteReference"/>
          <w:sz w:val="22"/>
        </w:rPr>
        <w:endnoteRef/>
      </w:r>
      <w:r w:rsidRPr="00600766">
        <w:rPr>
          <w:sz w:val="22"/>
        </w:rPr>
        <w:t xml:space="preserve"> Luc 1:39–40.</w:t>
      </w:r>
    </w:p>
  </w:endnote>
  <w:endnote w:id="38">
    <w:p w:rsidR="00D100F2" w:rsidRPr="00600766" w:rsidRDefault="00D100F2" w:rsidP="00600766">
      <w:pPr>
        <w:pStyle w:val="EndnoteText"/>
        <w:spacing w:after="240" w:line="276" w:lineRule="auto"/>
        <w:rPr>
          <w:sz w:val="22"/>
        </w:rPr>
      </w:pPr>
      <w:r w:rsidRPr="00600766">
        <w:rPr>
          <w:rStyle w:val="EndnoteReference"/>
          <w:sz w:val="22"/>
        </w:rPr>
        <w:endnoteRef/>
      </w:r>
      <w:r w:rsidRPr="00600766">
        <w:rPr>
          <w:sz w:val="22"/>
        </w:rPr>
        <w:t xml:space="preserve"> Brown, </w:t>
      </w:r>
      <w:r w:rsidRPr="00600766">
        <w:rPr>
          <w:rStyle w:val="Emphasis"/>
          <w:sz w:val="22"/>
        </w:rPr>
        <w:t>La naissance du Messie.</w:t>
      </w:r>
    </w:p>
  </w:endnote>
  <w:endnote w:id="39">
    <w:p w:rsidR="00D100F2" w:rsidRPr="00600766" w:rsidRDefault="00D100F2" w:rsidP="00600766">
      <w:pPr>
        <w:pStyle w:val="EndnoteText"/>
        <w:spacing w:after="240" w:line="276" w:lineRule="auto"/>
        <w:rPr>
          <w:sz w:val="22"/>
        </w:rPr>
      </w:pPr>
      <w:r w:rsidRPr="00600766">
        <w:rPr>
          <w:rStyle w:val="EndnoteReference"/>
          <w:sz w:val="22"/>
        </w:rPr>
        <w:endnoteRef/>
      </w:r>
      <w:r w:rsidRPr="00600766">
        <w:rPr>
          <w:sz w:val="22"/>
        </w:rPr>
        <w:t xml:space="preserve"> Luc 1:41–45.</w:t>
      </w:r>
    </w:p>
  </w:endnote>
  <w:endnote w:id="40">
    <w:p w:rsidR="00846577" w:rsidRPr="00600766" w:rsidRDefault="00846577" w:rsidP="00600766">
      <w:pPr>
        <w:pStyle w:val="EndnoteText"/>
        <w:spacing w:after="240" w:line="276" w:lineRule="auto"/>
        <w:rPr>
          <w:sz w:val="22"/>
        </w:rPr>
      </w:pPr>
      <w:r w:rsidRPr="00600766">
        <w:rPr>
          <w:rStyle w:val="EndnoteReference"/>
          <w:sz w:val="22"/>
        </w:rPr>
        <w:endnoteRef/>
      </w:r>
      <w:r w:rsidRPr="00600766">
        <w:rPr>
          <w:sz w:val="22"/>
        </w:rPr>
        <w:t xml:space="preserve"> Green, </w:t>
      </w:r>
      <w:r w:rsidRPr="00600766">
        <w:rPr>
          <w:rStyle w:val="Emphasis"/>
          <w:sz w:val="22"/>
        </w:rPr>
        <w:t>L’</w:t>
      </w:r>
      <w:r w:rsidR="00E7595B" w:rsidRPr="00600766">
        <w:rPr>
          <w:rStyle w:val="Emphasis"/>
          <w:sz w:val="22"/>
        </w:rPr>
        <w:t>Évangile</w:t>
      </w:r>
      <w:r w:rsidRPr="00600766">
        <w:rPr>
          <w:rStyle w:val="Emphasis"/>
          <w:sz w:val="22"/>
        </w:rPr>
        <w:t xml:space="preserve"> de Luc</w:t>
      </w:r>
      <w:r w:rsidRPr="00600766">
        <w:rPr>
          <w:sz w:val="22"/>
        </w:rPr>
        <w:t>, 81, 94.</w:t>
      </w:r>
      <w:bookmarkStart w:id="10" w:name="_GoBack"/>
      <w:bookmarkEnd w:id="10"/>
    </w:p>
  </w:endnote>
  <w:endnote w:id="41">
    <w:p w:rsidR="00846577" w:rsidRPr="00600766" w:rsidRDefault="00846577" w:rsidP="00600766">
      <w:pPr>
        <w:pStyle w:val="EndnoteText"/>
        <w:spacing w:after="240" w:line="276" w:lineRule="auto"/>
        <w:rPr>
          <w:sz w:val="22"/>
        </w:rPr>
      </w:pPr>
      <w:r w:rsidRPr="00600766">
        <w:rPr>
          <w:rStyle w:val="EndnoteReference"/>
          <w:sz w:val="22"/>
        </w:rPr>
        <w:endnoteRef/>
      </w:r>
      <w:r w:rsidRPr="00600766">
        <w:rPr>
          <w:sz w:val="22"/>
        </w:rPr>
        <w:t xml:space="preserve"> Luc 1:46–55.</w:t>
      </w:r>
    </w:p>
  </w:endnote>
  <w:endnote w:id="42">
    <w:p w:rsidR="004212D3" w:rsidRPr="00600766" w:rsidRDefault="004212D3" w:rsidP="00600766">
      <w:pPr>
        <w:pStyle w:val="EndnoteText"/>
        <w:spacing w:after="240" w:line="276" w:lineRule="auto"/>
        <w:rPr>
          <w:sz w:val="22"/>
        </w:rPr>
      </w:pPr>
      <w:r w:rsidRPr="00600766">
        <w:rPr>
          <w:rStyle w:val="EndnoteReference"/>
          <w:sz w:val="22"/>
        </w:rPr>
        <w:endnoteRef/>
      </w:r>
      <w:r w:rsidRPr="00600766">
        <w:rPr>
          <w:sz w:val="22"/>
        </w:rPr>
        <w:t xml:space="preserve"> Luc 1:46–47.</w:t>
      </w:r>
    </w:p>
  </w:endnote>
  <w:endnote w:id="43">
    <w:p w:rsidR="004212D3" w:rsidRPr="00600766" w:rsidRDefault="004212D3" w:rsidP="00600766">
      <w:pPr>
        <w:pStyle w:val="EndnoteText"/>
        <w:spacing w:after="240" w:line="276" w:lineRule="auto"/>
        <w:rPr>
          <w:sz w:val="22"/>
        </w:rPr>
      </w:pPr>
      <w:r w:rsidRPr="00600766">
        <w:rPr>
          <w:rStyle w:val="EndnoteReference"/>
          <w:sz w:val="22"/>
        </w:rPr>
        <w:endnoteRef/>
      </w:r>
      <w:r w:rsidRPr="00600766">
        <w:rPr>
          <w:sz w:val="22"/>
        </w:rPr>
        <w:t xml:space="preserve"> Luc 1:48.</w:t>
      </w:r>
    </w:p>
  </w:endnote>
  <w:endnote w:id="44">
    <w:p w:rsidR="004212D3" w:rsidRPr="00600766" w:rsidRDefault="004212D3" w:rsidP="00600766">
      <w:pPr>
        <w:pStyle w:val="EndnoteText"/>
        <w:spacing w:after="240" w:line="276" w:lineRule="auto"/>
        <w:rPr>
          <w:sz w:val="22"/>
        </w:rPr>
      </w:pPr>
      <w:r w:rsidRPr="00600766">
        <w:rPr>
          <w:rStyle w:val="EndnoteReference"/>
          <w:sz w:val="22"/>
        </w:rPr>
        <w:endnoteRef/>
      </w:r>
      <w:r w:rsidRPr="00600766">
        <w:rPr>
          <w:sz w:val="22"/>
        </w:rPr>
        <w:t xml:space="preserve"> Brown, </w:t>
      </w:r>
      <w:r w:rsidRPr="00600766">
        <w:rPr>
          <w:rStyle w:val="Emphasis"/>
          <w:sz w:val="22"/>
        </w:rPr>
        <w:t>La naissance du Messie,</w:t>
      </w:r>
      <w:r w:rsidRPr="00600766">
        <w:rPr>
          <w:sz w:val="22"/>
        </w:rPr>
        <w:t xml:space="preserve"> 355–56.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D9" w:rsidRDefault="00B50FD9" w:rsidP="00E406EB">
      <w:r>
        <w:separator/>
      </w:r>
    </w:p>
  </w:footnote>
  <w:footnote w:type="continuationSeparator" w:id="0">
    <w:p w:rsidR="00B50FD9" w:rsidRDefault="00B50FD9" w:rsidP="00E40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0E749D"/>
    <w:rsid w:val="0002769D"/>
    <w:rsid w:val="00056882"/>
    <w:rsid w:val="00071BB2"/>
    <w:rsid w:val="00073F66"/>
    <w:rsid w:val="00092537"/>
    <w:rsid w:val="000B291D"/>
    <w:rsid w:val="000C1782"/>
    <w:rsid w:val="000C413D"/>
    <w:rsid w:val="000C7C49"/>
    <w:rsid w:val="000E38B9"/>
    <w:rsid w:val="000E749D"/>
    <w:rsid w:val="00107613"/>
    <w:rsid w:val="00111D0C"/>
    <w:rsid w:val="0012756F"/>
    <w:rsid w:val="00135C18"/>
    <w:rsid w:val="00136330"/>
    <w:rsid w:val="00140CE8"/>
    <w:rsid w:val="00152B60"/>
    <w:rsid w:val="0016307E"/>
    <w:rsid w:val="0017477C"/>
    <w:rsid w:val="00180D5C"/>
    <w:rsid w:val="00192254"/>
    <w:rsid w:val="001F67E3"/>
    <w:rsid w:val="00210AD1"/>
    <w:rsid w:val="00233B11"/>
    <w:rsid w:val="0023504D"/>
    <w:rsid w:val="00241599"/>
    <w:rsid w:val="002439D3"/>
    <w:rsid w:val="00246ED9"/>
    <w:rsid w:val="0028289B"/>
    <w:rsid w:val="002907EB"/>
    <w:rsid w:val="002B009C"/>
    <w:rsid w:val="002B7359"/>
    <w:rsid w:val="002F320C"/>
    <w:rsid w:val="003029C7"/>
    <w:rsid w:val="00306094"/>
    <w:rsid w:val="00326A02"/>
    <w:rsid w:val="00352BEB"/>
    <w:rsid w:val="00383CE9"/>
    <w:rsid w:val="00390B6C"/>
    <w:rsid w:val="0039609D"/>
    <w:rsid w:val="003E2655"/>
    <w:rsid w:val="003E3438"/>
    <w:rsid w:val="00414B18"/>
    <w:rsid w:val="004212D3"/>
    <w:rsid w:val="004333F4"/>
    <w:rsid w:val="00443D66"/>
    <w:rsid w:val="0044452B"/>
    <w:rsid w:val="00456EAA"/>
    <w:rsid w:val="00463801"/>
    <w:rsid w:val="00486D50"/>
    <w:rsid w:val="00492C6E"/>
    <w:rsid w:val="00494621"/>
    <w:rsid w:val="004A1AE3"/>
    <w:rsid w:val="004A658B"/>
    <w:rsid w:val="004C405E"/>
    <w:rsid w:val="004C6B0A"/>
    <w:rsid w:val="004D21DA"/>
    <w:rsid w:val="004D414B"/>
    <w:rsid w:val="004E5B12"/>
    <w:rsid w:val="004F2CB6"/>
    <w:rsid w:val="004F7CE3"/>
    <w:rsid w:val="00503F54"/>
    <w:rsid w:val="00526072"/>
    <w:rsid w:val="00530574"/>
    <w:rsid w:val="00530E68"/>
    <w:rsid w:val="005362F1"/>
    <w:rsid w:val="00543758"/>
    <w:rsid w:val="005520FB"/>
    <w:rsid w:val="00552EC2"/>
    <w:rsid w:val="00557083"/>
    <w:rsid w:val="00574196"/>
    <w:rsid w:val="005A4E18"/>
    <w:rsid w:val="005A7423"/>
    <w:rsid w:val="005A74F3"/>
    <w:rsid w:val="005B1095"/>
    <w:rsid w:val="005C731E"/>
    <w:rsid w:val="005D5056"/>
    <w:rsid w:val="005D68EA"/>
    <w:rsid w:val="005E2A11"/>
    <w:rsid w:val="005F2F8F"/>
    <w:rsid w:val="005F37D3"/>
    <w:rsid w:val="005F6C84"/>
    <w:rsid w:val="00600766"/>
    <w:rsid w:val="006377DD"/>
    <w:rsid w:val="0065074C"/>
    <w:rsid w:val="00664C42"/>
    <w:rsid w:val="00670CBD"/>
    <w:rsid w:val="00683309"/>
    <w:rsid w:val="00685C33"/>
    <w:rsid w:val="006A4A1D"/>
    <w:rsid w:val="006B1CC7"/>
    <w:rsid w:val="006B3077"/>
    <w:rsid w:val="006D1D0C"/>
    <w:rsid w:val="006D1D6B"/>
    <w:rsid w:val="006D696D"/>
    <w:rsid w:val="006D6EA4"/>
    <w:rsid w:val="006E3858"/>
    <w:rsid w:val="00704C48"/>
    <w:rsid w:val="00706C0E"/>
    <w:rsid w:val="0075279F"/>
    <w:rsid w:val="00761B40"/>
    <w:rsid w:val="007626D5"/>
    <w:rsid w:val="007669B8"/>
    <w:rsid w:val="007946D4"/>
    <w:rsid w:val="007A00D2"/>
    <w:rsid w:val="007B11F3"/>
    <w:rsid w:val="007F500A"/>
    <w:rsid w:val="008018E6"/>
    <w:rsid w:val="0082235F"/>
    <w:rsid w:val="00834C4F"/>
    <w:rsid w:val="00846577"/>
    <w:rsid w:val="008620A3"/>
    <w:rsid w:val="00862B02"/>
    <w:rsid w:val="0086470F"/>
    <w:rsid w:val="00885A6D"/>
    <w:rsid w:val="0089745A"/>
    <w:rsid w:val="008A4BC3"/>
    <w:rsid w:val="008E16B5"/>
    <w:rsid w:val="008F17D9"/>
    <w:rsid w:val="009002BA"/>
    <w:rsid w:val="00903726"/>
    <w:rsid w:val="0090658B"/>
    <w:rsid w:val="0091181D"/>
    <w:rsid w:val="00962472"/>
    <w:rsid w:val="00964602"/>
    <w:rsid w:val="0098011A"/>
    <w:rsid w:val="00993594"/>
    <w:rsid w:val="00995815"/>
    <w:rsid w:val="009A29F7"/>
    <w:rsid w:val="009A4854"/>
    <w:rsid w:val="009A6698"/>
    <w:rsid w:val="009A6D28"/>
    <w:rsid w:val="009D5BF0"/>
    <w:rsid w:val="009F55EC"/>
    <w:rsid w:val="00A040D1"/>
    <w:rsid w:val="00A10639"/>
    <w:rsid w:val="00A22EB9"/>
    <w:rsid w:val="00A2586F"/>
    <w:rsid w:val="00A3182E"/>
    <w:rsid w:val="00A407D0"/>
    <w:rsid w:val="00A42445"/>
    <w:rsid w:val="00A44DC0"/>
    <w:rsid w:val="00A54C09"/>
    <w:rsid w:val="00A73C6D"/>
    <w:rsid w:val="00A74E74"/>
    <w:rsid w:val="00A82039"/>
    <w:rsid w:val="00A90440"/>
    <w:rsid w:val="00AA63E8"/>
    <w:rsid w:val="00AD306C"/>
    <w:rsid w:val="00AD3D32"/>
    <w:rsid w:val="00AE1507"/>
    <w:rsid w:val="00AE2BE1"/>
    <w:rsid w:val="00AF0378"/>
    <w:rsid w:val="00AF57CE"/>
    <w:rsid w:val="00B02904"/>
    <w:rsid w:val="00B040DE"/>
    <w:rsid w:val="00B273FB"/>
    <w:rsid w:val="00B30893"/>
    <w:rsid w:val="00B32567"/>
    <w:rsid w:val="00B439EB"/>
    <w:rsid w:val="00B47BD0"/>
    <w:rsid w:val="00B50FD9"/>
    <w:rsid w:val="00B6525F"/>
    <w:rsid w:val="00B87204"/>
    <w:rsid w:val="00BB00CD"/>
    <w:rsid w:val="00BC0370"/>
    <w:rsid w:val="00BC2F12"/>
    <w:rsid w:val="00BD1F34"/>
    <w:rsid w:val="00BE210E"/>
    <w:rsid w:val="00BE7669"/>
    <w:rsid w:val="00BF1313"/>
    <w:rsid w:val="00BF3A7E"/>
    <w:rsid w:val="00BF4867"/>
    <w:rsid w:val="00BF6E91"/>
    <w:rsid w:val="00C12D2E"/>
    <w:rsid w:val="00C17DC4"/>
    <w:rsid w:val="00C21BE0"/>
    <w:rsid w:val="00C2459A"/>
    <w:rsid w:val="00C272EB"/>
    <w:rsid w:val="00C30810"/>
    <w:rsid w:val="00C45AAC"/>
    <w:rsid w:val="00C45C72"/>
    <w:rsid w:val="00C56D63"/>
    <w:rsid w:val="00C647A2"/>
    <w:rsid w:val="00C73E62"/>
    <w:rsid w:val="00C80BEC"/>
    <w:rsid w:val="00C967D7"/>
    <w:rsid w:val="00CB5D21"/>
    <w:rsid w:val="00CC73A9"/>
    <w:rsid w:val="00CD646D"/>
    <w:rsid w:val="00CE475B"/>
    <w:rsid w:val="00D07CED"/>
    <w:rsid w:val="00D100F2"/>
    <w:rsid w:val="00D1347A"/>
    <w:rsid w:val="00D170F8"/>
    <w:rsid w:val="00D32C58"/>
    <w:rsid w:val="00D84C20"/>
    <w:rsid w:val="00DA4BEC"/>
    <w:rsid w:val="00DC3C39"/>
    <w:rsid w:val="00E23BAD"/>
    <w:rsid w:val="00E3459C"/>
    <w:rsid w:val="00E406EB"/>
    <w:rsid w:val="00E6015E"/>
    <w:rsid w:val="00E72108"/>
    <w:rsid w:val="00E7595B"/>
    <w:rsid w:val="00E96963"/>
    <w:rsid w:val="00EC309C"/>
    <w:rsid w:val="00EC433D"/>
    <w:rsid w:val="00ED1061"/>
    <w:rsid w:val="00ED2D04"/>
    <w:rsid w:val="00EE1116"/>
    <w:rsid w:val="00EF2D0E"/>
    <w:rsid w:val="00EF480A"/>
    <w:rsid w:val="00F028CC"/>
    <w:rsid w:val="00F11FE7"/>
    <w:rsid w:val="00F15242"/>
    <w:rsid w:val="00F20F64"/>
    <w:rsid w:val="00F317C2"/>
    <w:rsid w:val="00F36485"/>
    <w:rsid w:val="00F3658A"/>
    <w:rsid w:val="00F53286"/>
    <w:rsid w:val="00F74B84"/>
    <w:rsid w:val="00F758C1"/>
    <w:rsid w:val="00F80250"/>
    <w:rsid w:val="00F8158B"/>
    <w:rsid w:val="00FA39C0"/>
    <w:rsid w:val="00FA7664"/>
    <w:rsid w:val="00FC1FF7"/>
    <w:rsid w:val="00FD5377"/>
    <w:rsid w:val="00FD59A7"/>
    <w:rsid w:val="00FD6975"/>
    <w:rsid w:val="00FF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customStyle="1" w:styleId="msocomoff">
    <w:name w:val="msocomoff"/>
    <w:basedOn w:val="Normal"/>
    <w:pPr>
      <w:spacing w:before="100" w:beforeAutospacing="1" w:after="100" w:afterAutospacing="1"/>
    </w:pPr>
  </w:style>
  <w:style w:type="paragraph" w:styleId="EndnoteText">
    <w:name w:val="endnote text"/>
    <w:basedOn w:val="Normal"/>
    <w:link w:val="EndnoteTextChar"/>
    <w:uiPriority w:val="99"/>
    <w:semiHidden/>
    <w:unhideWhenUsed/>
    <w:rsid w:val="00E406EB"/>
    <w:rPr>
      <w:sz w:val="20"/>
      <w:szCs w:val="20"/>
    </w:rPr>
  </w:style>
  <w:style w:type="character" w:customStyle="1" w:styleId="EndnoteTextChar">
    <w:name w:val="Endnote Text Char"/>
    <w:link w:val="EndnoteText"/>
    <w:uiPriority w:val="99"/>
    <w:semiHidden/>
    <w:rsid w:val="00E406EB"/>
    <w:rPr>
      <w:rFonts w:eastAsia="Times New Roman"/>
    </w:rPr>
  </w:style>
  <w:style w:type="character" w:styleId="EndnoteReference">
    <w:name w:val="endnote reference"/>
    <w:uiPriority w:val="99"/>
    <w:semiHidden/>
    <w:unhideWhenUsed/>
    <w:rsid w:val="00E406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0552">
      <w:marLeft w:val="0"/>
      <w:marRight w:val="0"/>
      <w:marTop w:val="0"/>
      <w:marBottom w:val="0"/>
      <w:divBdr>
        <w:top w:val="none" w:sz="0" w:space="0" w:color="auto"/>
        <w:left w:val="none" w:sz="0" w:space="0" w:color="auto"/>
        <w:bottom w:val="none" w:sz="0" w:space="0" w:color="auto"/>
        <w:right w:val="none" w:sz="0" w:space="0" w:color="auto"/>
      </w:divBdr>
    </w:div>
    <w:div w:id="160045437">
      <w:marLeft w:val="0"/>
      <w:marRight w:val="0"/>
      <w:marTop w:val="0"/>
      <w:marBottom w:val="0"/>
      <w:divBdr>
        <w:top w:val="none" w:sz="0" w:space="0" w:color="auto"/>
        <w:left w:val="none" w:sz="0" w:space="0" w:color="auto"/>
        <w:bottom w:val="none" w:sz="0" w:space="0" w:color="auto"/>
        <w:right w:val="none" w:sz="0" w:space="0" w:color="auto"/>
      </w:divBdr>
    </w:div>
    <w:div w:id="262878192">
      <w:marLeft w:val="0"/>
      <w:marRight w:val="0"/>
      <w:marTop w:val="0"/>
      <w:marBottom w:val="0"/>
      <w:divBdr>
        <w:top w:val="none" w:sz="0" w:space="0" w:color="auto"/>
        <w:left w:val="none" w:sz="0" w:space="0" w:color="auto"/>
        <w:bottom w:val="none" w:sz="0" w:space="0" w:color="auto"/>
        <w:right w:val="none" w:sz="0" w:space="0" w:color="auto"/>
      </w:divBdr>
    </w:div>
    <w:div w:id="273025446">
      <w:marLeft w:val="0"/>
      <w:marRight w:val="0"/>
      <w:marTop w:val="0"/>
      <w:marBottom w:val="0"/>
      <w:divBdr>
        <w:top w:val="none" w:sz="0" w:space="0" w:color="auto"/>
        <w:left w:val="none" w:sz="0" w:space="0" w:color="auto"/>
        <w:bottom w:val="none" w:sz="0" w:space="0" w:color="auto"/>
        <w:right w:val="none" w:sz="0" w:space="0" w:color="auto"/>
      </w:divBdr>
    </w:div>
    <w:div w:id="316963776">
      <w:marLeft w:val="0"/>
      <w:marRight w:val="0"/>
      <w:marTop w:val="0"/>
      <w:marBottom w:val="0"/>
      <w:divBdr>
        <w:top w:val="none" w:sz="0" w:space="0" w:color="auto"/>
        <w:left w:val="none" w:sz="0" w:space="0" w:color="auto"/>
        <w:bottom w:val="none" w:sz="0" w:space="0" w:color="auto"/>
        <w:right w:val="none" w:sz="0" w:space="0" w:color="auto"/>
      </w:divBdr>
    </w:div>
    <w:div w:id="323556762">
      <w:marLeft w:val="0"/>
      <w:marRight w:val="0"/>
      <w:marTop w:val="0"/>
      <w:marBottom w:val="0"/>
      <w:divBdr>
        <w:top w:val="none" w:sz="0" w:space="0" w:color="auto"/>
        <w:left w:val="none" w:sz="0" w:space="0" w:color="auto"/>
        <w:bottom w:val="none" w:sz="0" w:space="0" w:color="auto"/>
        <w:right w:val="none" w:sz="0" w:space="0" w:color="auto"/>
      </w:divBdr>
    </w:div>
    <w:div w:id="438184162">
      <w:marLeft w:val="0"/>
      <w:marRight w:val="0"/>
      <w:marTop w:val="0"/>
      <w:marBottom w:val="0"/>
      <w:divBdr>
        <w:top w:val="none" w:sz="0" w:space="0" w:color="auto"/>
        <w:left w:val="none" w:sz="0" w:space="0" w:color="auto"/>
        <w:bottom w:val="none" w:sz="0" w:space="0" w:color="auto"/>
        <w:right w:val="none" w:sz="0" w:space="0" w:color="auto"/>
      </w:divBdr>
    </w:div>
    <w:div w:id="497773164">
      <w:marLeft w:val="0"/>
      <w:marRight w:val="0"/>
      <w:marTop w:val="0"/>
      <w:marBottom w:val="0"/>
      <w:divBdr>
        <w:top w:val="none" w:sz="0" w:space="0" w:color="auto"/>
        <w:left w:val="none" w:sz="0" w:space="0" w:color="auto"/>
        <w:bottom w:val="none" w:sz="0" w:space="0" w:color="auto"/>
        <w:right w:val="none" w:sz="0" w:space="0" w:color="auto"/>
      </w:divBdr>
    </w:div>
    <w:div w:id="528689750">
      <w:marLeft w:val="0"/>
      <w:marRight w:val="0"/>
      <w:marTop w:val="0"/>
      <w:marBottom w:val="0"/>
      <w:divBdr>
        <w:top w:val="none" w:sz="0" w:space="0" w:color="auto"/>
        <w:left w:val="none" w:sz="0" w:space="0" w:color="auto"/>
        <w:bottom w:val="none" w:sz="0" w:space="0" w:color="auto"/>
        <w:right w:val="none" w:sz="0" w:space="0" w:color="auto"/>
      </w:divBdr>
    </w:div>
    <w:div w:id="564338577">
      <w:marLeft w:val="0"/>
      <w:marRight w:val="0"/>
      <w:marTop w:val="0"/>
      <w:marBottom w:val="0"/>
      <w:divBdr>
        <w:top w:val="none" w:sz="0" w:space="0" w:color="auto"/>
        <w:left w:val="none" w:sz="0" w:space="0" w:color="auto"/>
        <w:bottom w:val="none" w:sz="0" w:space="0" w:color="auto"/>
        <w:right w:val="none" w:sz="0" w:space="0" w:color="auto"/>
      </w:divBdr>
    </w:div>
    <w:div w:id="697589675">
      <w:marLeft w:val="0"/>
      <w:marRight w:val="0"/>
      <w:marTop w:val="0"/>
      <w:marBottom w:val="0"/>
      <w:divBdr>
        <w:top w:val="none" w:sz="0" w:space="0" w:color="auto"/>
        <w:left w:val="none" w:sz="0" w:space="0" w:color="auto"/>
        <w:bottom w:val="none" w:sz="0" w:space="0" w:color="auto"/>
        <w:right w:val="none" w:sz="0" w:space="0" w:color="auto"/>
      </w:divBdr>
    </w:div>
    <w:div w:id="705065934">
      <w:marLeft w:val="0"/>
      <w:marRight w:val="0"/>
      <w:marTop w:val="0"/>
      <w:marBottom w:val="0"/>
      <w:divBdr>
        <w:top w:val="none" w:sz="0" w:space="0" w:color="auto"/>
        <w:left w:val="none" w:sz="0" w:space="0" w:color="auto"/>
        <w:bottom w:val="none" w:sz="0" w:space="0" w:color="auto"/>
        <w:right w:val="none" w:sz="0" w:space="0" w:color="auto"/>
      </w:divBdr>
    </w:div>
    <w:div w:id="729771837">
      <w:marLeft w:val="0"/>
      <w:marRight w:val="0"/>
      <w:marTop w:val="0"/>
      <w:marBottom w:val="0"/>
      <w:divBdr>
        <w:top w:val="none" w:sz="0" w:space="0" w:color="auto"/>
        <w:left w:val="none" w:sz="0" w:space="0" w:color="auto"/>
        <w:bottom w:val="none" w:sz="0" w:space="0" w:color="auto"/>
        <w:right w:val="none" w:sz="0" w:space="0" w:color="auto"/>
      </w:divBdr>
    </w:div>
    <w:div w:id="758328269">
      <w:marLeft w:val="0"/>
      <w:marRight w:val="0"/>
      <w:marTop w:val="0"/>
      <w:marBottom w:val="0"/>
      <w:divBdr>
        <w:top w:val="none" w:sz="0" w:space="0" w:color="auto"/>
        <w:left w:val="none" w:sz="0" w:space="0" w:color="auto"/>
        <w:bottom w:val="none" w:sz="0" w:space="0" w:color="auto"/>
        <w:right w:val="none" w:sz="0" w:space="0" w:color="auto"/>
      </w:divBdr>
    </w:div>
    <w:div w:id="763645936">
      <w:marLeft w:val="0"/>
      <w:marRight w:val="0"/>
      <w:marTop w:val="0"/>
      <w:marBottom w:val="0"/>
      <w:divBdr>
        <w:top w:val="none" w:sz="0" w:space="0" w:color="auto"/>
        <w:left w:val="none" w:sz="0" w:space="0" w:color="auto"/>
        <w:bottom w:val="none" w:sz="0" w:space="0" w:color="auto"/>
        <w:right w:val="none" w:sz="0" w:space="0" w:color="auto"/>
      </w:divBdr>
    </w:div>
    <w:div w:id="768090173">
      <w:marLeft w:val="0"/>
      <w:marRight w:val="0"/>
      <w:marTop w:val="0"/>
      <w:marBottom w:val="0"/>
      <w:divBdr>
        <w:top w:val="none" w:sz="0" w:space="0" w:color="auto"/>
        <w:left w:val="none" w:sz="0" w:space="0" w:color="auto"/>
        <w:bottom w:val="none" w:sz="0" w:space="0" w:color="auto"/>
        <w:right w:val="none" w:sz="0" w:space="0" w:color="auto"/>
      </w:divBdr>
    </w:div>
    <w:div w:id="828324487">
      <w:marLeft w:val="0"/>
      <w:marRight w:val="0"/>
      <w:marTop w:val="0"/>
      <w:marBottom w:val="0"/>
      <w:divBdr>
        <w:top w:val="none" w:sz="0" w:space="0" w:color="auto"/>
        <w:left w:val="none" w:sz="0" w:space="0" w:color="auto"/>
        <w:bottom w:val="none" w:sz="0" w:space="0" w:color="auto"/>
        <w:right w:val="none" w:sz="0" w:space="0" w:color="auto"/>
      </w:divBdr>
    </w:div>
    <w:div w:id="842165788">
      <w:marLeft w:val="0"/>
      <w:marRight w:val="0"/>
      <w:marTop w:val="0"/>
      <w:marBottom w:val="0"/>
      <w:divBdr>
        <w:top w:val="none" w:sz="0" w:space="0" w:color="auto"/>
        <w:left w:val="none" w:sz="0" w:space="0" w:color="auto"/>
        <w:bottom w:val="none" w:sz="0" w:space="0" w:color="auto"/>
        <w:right w:val="none" w:sz="0" w:space="0" w:color="auto"/>
      </w:divBdr>
    </w:div>
    <w:div w:id="959186198">
      <w:marLeft w:val="0"/>
      <w:marRight w:val="0"/>
      <w:marTop w:val="0"/>
      <w:marBottom w:val="0"/>
      <w:divBdr>
        <w:top w:val="none" w:sz="0" w:space="0" w:color="auto"/>
        <w:left w:val="none" w:sz="0" w:space="0" w:color="auto"/>
        <w:bottom w:val="none" w:sz="0" w:space="0" w:color="auto"/>
        <w:right w:val="none" w:sz="0" w:space="0" w:color="auto"/>
      </w:divBdr>
    </w:div>
    <w:div w:id="963119365">
      <w:marLeft w:val="0"/>
      <w:marRight w:val="0"/>
      <w:marTop w:val="0"/>
      <w:marBottom w:val="0"/>
      <w:divBdr>
        <w:top w:val="none" w:sz="0" w:space="0" w:color="auto"/>
        <w:left w:val="none" w:sz="0" w:space="0" w:color="auto"/>
        <w:bottom w:val="none" w:sz="0" w:space="0" w:color="auto"/>
        <w:right w:val="none" w:sz="0" w:space="0" w:color="auto"/>
      </w:divBdr>
    </w:div>
    <w:div w:id="1044057223">
      <w:marLeft w:val="0"/>
      <w:marRight w:val="0"/>
      <w:marTop w:val="0"/>
      <w:marBottom w:val="0"/>
      <w:divBdr>
        <w:top w:val="none" w:sz="0" w:space="0" w:color="auto"/>
        <w:left w:val="none" w:sz="0" w:space="0" w:color="auto"/>
        <w:bottom w:val="none" w:sz="0" w:space="0" w:color="auto"/>
        <w:right w:val="none" w:sz="0" w:space="0" w:color="auto"/>
      </w:divBdr>
    </w:div>
    <w:div w:id="1334841394">
      <w:marLeft w:val="0"/>
      <w:marRight w:val="0"/>
      <w:marTop w:val="0"/>
      <w:marBottom w:val="0"/>
      <w:divBdr>
        <w:top w:val="none" w:sz="0" w:space="0" w:color="auto"/>
        <w:left w:val="none" w:sz="0" w:space="0" w:color="auto"/>
        <w:bottom w:val="none" w:sz="0" w:space="0" w:color="auto"/>
        <w:right w:val="none" w:sz="0" w:space="0" w:color="auto"/>
      </w:divBdr>
    </w:div>
    <w:div w:id="1339231886">
      <w:marLeft w:val="0"/>
      <w:marRight w:val="0"/>
      <w:marTop w:val="0"/>
      <w:marBottom w:val="0"/>
      <w:divBdr>
        <w:top w:val="none" w:sz="0" w:space="0" w:color="auto"/>
        <w:left w:val="none" w:sz="0" w:space="0" w:color="auto"/>
        <w:bottom w:val="none" w:sz="0" w:space="0" w:color="auto"/>
        <w:right w:val="none" w:sz="0" w:space="0" w:color="auto"/>
      </w:divBdr>
    </w:div>
    <w:div w:id="1380788334">
      <w:marLeft w:val="0"/>
      <w:marRight w:val="0"/>
      <w:marTop w:val="0"/>
      <w:marBottom w:val="0"/>
      <w:divBdr>
        <w:top w:val="none" w:sz="0" w:space="0" w:color="auto"/>
        <w:left w:val="none" w:sz="0" w:space="0" w:color="auto"/>
        <w:bottom w:val="none" w:sz="0" w:space="0" w:color="auto"/>
        <w:right w:val="none" w:sz="0" w:space="0" w:color="auto"/>
      </w:divBdr>
    </w:div>
    <w:div w:id="1401294670">
      <w:marLeft w:val="0"/>
      <w:marRight w:val="0"/>
      <w:marTop w:val="0"/>
      <w:marBottom w:val="0"/>
      <w:divBdr>
        <w:top w:val="none" w:sz="0" w:space="0" w:color="auto"/>
        <w:left w:val="none" w:sz="0" w:space="0" w:color="auto"/>
        <w:bottom w:val="none" w:sz="0" w:space="0" w:color="auto"/>
        <w:right w:val="none" w:sz="0" w:space="0" w:color="auto"/>
      </w:divBdr>
    </w:div>
    <w:div w:id="1406225451">
      <w:marLeft w:val="0"/>
      <w:marRight w:val="0"/>
      <w:marTop w:val="0"/>
      <w:marBottom w:val="0"/>
      <w:divBdr>
        <w:top w:val="none" w:sz="0" w:space="0" w:color="auto"/>
        <w:left w:val="none" w:sz="0" w:space="0" w:color="auto"/>
        <w:bottom w:val="none" w:sz="0" w:space="0" w:color="auto"/>
        <w:right w:val="none" w:sz="0" w:space="0" w:color="auto"/>
      </w:divBdr>
    </w:div>
    <w:div w:id="1425807633">
      <w:marLeft w:val="0"/>
      <w:marRight w:val="0"/>
      <w:marTop w:val="0"/>
      <w:marBottom w:val="0"/>
      <w:divBdr>
        <w:top w:val="none" w:sz="0" w:space="0" w:color="auto"/>
        <w:left w:val="none" w:sz="0" w:space="0" w:color="auto"/>
        <w:bottom w:val="none" w:sz="0" w:space="0" w:color="auto"/>
        <w:right w:val="none" w:sz="0" w:space="0" w:color="auto"/>
      </w:divBdr>
    </w:div>
    <w:div w:id="1450709844">
      <w:marLeft w:val="0"/>
      <w:marRight w:val="0"/>
      <w:marTop w:val="0"/>
      <w:marBottom w:val="0"/>
      <w:divBdr>
        <w:top w:val="none" w:sz="0" w:space="0" w:color="auto"/>
        <w:left w:val="none" w:sz="0" w:space="0" w:color="auto"/>
        <w:bottom w:val="none" w:sz="0" w:space="0" w:color="auto"/>
        <w:right w:val="none" w:sz="0" w:space="0" w:color="auto"/>
      </w:divBdr>
    </w:div>
    <w:div w:id="1462504158">
      <w:marLeft w:val="0"/>
      <w:marRight w:val="0"/>
      <w:marTop w:val="0"/>
      <w:marBottom w:val="0"/>
      <w:divBdr>
        <w:top w:val="none" w:sz="0" w:space="0" w:color="auto"/>
        <w:left w:val="none" w:sz="0" w:space="0" w:color="auto"/>
        <w:bottom w:val="none" w:sz="0" w:space="0" w:color="auto"/>
        <w:right w:val="none" w:sz="0" w:space="0" w:color="auto"/>
      </w:divBdr>
    </w:div>
    <w:div w:id="1622689354">
      <w:marLeft w:val="0"/>
      <w:marRight w:val="0"/>
      <w:marTop w:val="0"/>
      <w:marBottom w:val="0"/>
      <w:divBdr>
        <w:top w:val="none" w:sz="0" w:space="0" w:color="auto"/>
        <w:left w:val="none" w:sz="0" w:space="0" w:color="auto"/>
        <w:bottom w:val="none" w:sz="0" w:space="0" w:color="auto"/>
        <w:right w:val="none" w:sz="0" w:space="0" w:color="auto"/>
      </w:divBdr>
    </w:div>
    <w:div w:id="1667514516">
      <w:marLeft w:val="0"/>
      <w:marRight w:val="0"/>
      <w:marTop w:val="0"/>
      <w:marBottom w:val="0"/>
      <w:divBdr>
        <w:top w:val="none" w:sz="0" w:space="0" w:color="auto"/>
        <w:left w:val="none" w:sz="0" w:space="0" w:color="auto"/>
        <w:bottom w:val="none" w:sz="0" w:space="0" w:color="auto"/>
        <w:right w:val="none" w:sz="0" w:space="0" w:color="auto"/>
      </w:divBdr>
    </w:div>
    <w:div w:id="1669365446">
      <w:marLeft w:val="0"/>
      <w:marRight w:val="0"/>
      <w:marTop w:val="0"/>
      <w:marBottom w:val="0"/>
      <w:divBdr>
        <w:top w:val="none" w:sz="0" w:space="0" w:color="auto"/>
        <w:left w:val="none" w:sz="0" w:space="0" w:color="auto"/>
        <w:bottom w:val="none" w:sz="0" w:space="0" w:color="auto"/>
        <w:right w:val="none" w:sz="0" w:space="0" w:color="auto"/>
      </w:divBdr>
    </w:div>
    <w:div w:id="1738746139">
      <w:marLeft w:val="0"/>
      <w:marRight w:val="0"/>
      <w:marTop w:val="0"/>
      <w:marBottom w:val="0"/>
      <w:divBdr>
        <w:top w:val="none" w:sz="0" w:space="0" w:color="auto"/>
        <w:left w:val="none" w:sz="0" w:space="0" w:color="auto"/>
        <w:bottom w:val="none" w:sz="0" w:space="0" w:color="auto"/>
        <w:right w:val="none" w:sz="0" w:space="0" w:color="auto"/>
      </w:divBdr>
    </w:div>
    <w:div w:id="1740178604">
      <w:marLeft w:val="0"/>
      <w:marRight w:val="0"/>
      <w:marTop w:val="0"/>
      <w:marBottom w:val="0"/>
      <w:divBdr>
        <w:top w:val="none" w:sz="0" w:space="0" w:color="auto"/>
        <w:left w:val="none" w:sz="0" w:space="0" w:color="auto"/>
        <w:bottom w:val="none" w:sz="0" w:space="0" w:color="auto"/>
        <w:right w:val="none" w:sz="0" w:space="0" w:color="auto"/>
      </w:divBdr>
    </w:div>
    <w:div w:id="1759015841">
      <w:marLeft w:val="0"/>
      <w:marRight w:val="0"/>
      <w:marTop w:val="0"/>
      <w:marBottom w:val="0"/>
      <w:divBdr>
        <w:top w:val="none" w:sz="0" w:space="0" w:color="auto"/>
        <w:left w:val="none" w:sz="0" w:space="0" w:color="auto"/>
        <w:bottom w:val="none" w:sz="0" w:space="0" w:color="auto"/>
        <w:right w:val="none" w:sz="0" w:space="0" w:color="auto"/>
      </w:divBdr>
    </w:div>
    <w:div w:id="1777561010">
      <w:marLeft w:val="0"/>
      <w:marRight w:val="0"/>
      <w:marTop w:val="0"/>
      <w:marBottom w:val="0"/>
      <w:divBdr>
        <w:top w:val="none" w:sz="0" w:space="0" w:color="auto"/>
        <w:left w:val="none" w:sz="0" w:space="0" w:color="auto"/>
        <w:bottom w:val="none" w:sz="0" w:space="0" w:color="auto"/>
        <w:right w:val="none" w:sz="0" w:space="0" w:color="auto"/>
      </w:divBdr>
    </w:div>
    <w:div w:id="1788890354">
      <w:marLeft w:val="0"/>
      <w:marRight w:val="0"/>
      <w:marTop w:val="0"/>
      <w:marBottom w:val="0"/>
      <w:divBdr>
        <w:top w:val="none" w:sz="0" w:space="0" w:color="auto"/>
        <w:left w:val="none" w:sz="0" w:space="0" w:color="auto"/>
        <w:bottom w:val="none" w:sz="0" w:space="0" w:color="auto"/>
        <w:right w:val="none" w:sz="0" w:space="0" w:color="auto"/>
      </w:divBdr>
    </w:div>
    <w:div w:id="1789540138">
      <w:marLeft w:val="0"/>
      <w:marRight w:val="0"/>
      <w:marTop w:val="0"/>
      <w:marBottom w:val="0"/>
      <w:divBdr>
        <w:top w:val="none" w:sz="0" w:space="0" w:color="auto"/>
        <w:left w:val="none" w:sz="0" w:space="0" w:color="auto"/>
        <w:bottom w:val="none" w:sz="0" w:space="0" w:color="auto"/>
        <w:right w:val="none" w:sz="0" w:space="0" w:color="auto"/>
      </w:divBdr>
    </w:div>
    <w:div w:id="1818302108">
      <w:marLeft w:val="0"/>
      <w:marRight w:val="0"/>
      <w:marTop w:val="0"/>
      <w:marBottom w:val="0"/>
      <w:divBdr>
        <w:top w:val="none" w:sz="0" w:space="0" w:color="auto"/>
        <w:left w:val="none" w:sz="0" w:space="0" w:color="auto"/>
        <w:bottom w:val="none" w:sz="0" w:space="0" w:color="auto"/>
        <w:right w:val="none" w:sz="0" w:space="0" w:color="auto"/>
      </w:divBdr>
    </w:div>
    <w:div w:id="1874272038">
      <w:marLeft w:val="0"/>
      <w:marRight w:val="0"/>
      <w:marTop w:val="0"/>
      <w:marBottom w:val="0"/>
      <w:divBdr>
        <w:top w:val="none" w:sz="0" w:space="0" w:color="auto"/>
        <w:left w:val="none" w:sz="0" w:space="0" w:color="auto"/>
        <w:bottom w:val="none" w:sz="0" w:space="0" w:color="auto"/>
        <w:right w:val="none" w:sz="0" w:space="0" w:color="auto"/>
      </w:divBdr>
    </w:div>
    <w:div w:id="1881894273">
      <w:marLeft w:val="0"/>
      <w:marRight w:val="0"/>
      <w:marTop w:val="0"/>
      <w:marBottom w:val="0"/>
      <w:divBdr>
        <w:top w:val="none" w:sz="0" w:space="0" w:color="auto"/>
        <w:left w:val="none" w:sz="0" w:space="0" w:color="auto"/>
        <w:bottom w:val="none" w:sz="0" w:space="0" w:color="auto"/>
        <w:right w:val="none" w:sz="0" w:space="0" w:color="auto"/>
      </w:divBdr>
    </w:div>
    <w:div w:id="1924027832">
      <w:marLeft w:val="0"/>
      <w:marRight w:val="0"/>
      <w:marTop w:val="0"/>
      <w:marBottom w:val="0"/>
      <w:divBdr>
        <w:top w:val="none" w:sz="0" w:space="0" w:color="auto"/>
        <w:left w:val="none" w:sz="0" w:space="0" w:color="auto"/>
        <w:bottom w:val="none" w:sz="0" w:space="0" w:color="auto"/>
        <w:right w:val="none" w:sz="0" w:space="0" w:color="auto"/>
      </w:divBdr>
    </w:div>
    <w:div w:id="21392982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AB32-9D81-423F-9655-4CE98F17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3073</Words>
  <Characters>16902</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Jesus—His Life and Message: Jesus’ Birth (Part 2)</vt:lpstr>
      <vt:lpstr>Jésus—sa vie et son message: la naissance de Jésus (2ème partie) </vt:lpstr>
      <vt:lpstr>        Bibliographie générale</vt:lpstr>
    </vt:vector>
  </TitlesOfParts>
  <Company/>
  <LinksUpToDate>false</LinksUpToDate>
  <CharactersWithSpaces>19936</CharactersWithSpaces>
  <SharedDoc>false</SharedDoc>
  <HLinks>
    <vt:vector size="6" baseType="variant">
      <vt:variant>
        <vt:i4>3145842</vt:i4>
      </vt:variant>
      <vt:variant>
        <vt:i4>0</vt:i4>
      </vt:variant>
      <vt:variant>
        <vt:i4>0</vt:i4>
      </vt:variant>
      <vt:variant>
        <vt:i4>5</vt:i4>
      </vt:variant>
      <vt:variant>
        <vt:lpwstr>http://directors.tfionline.com/post/jesushis-life-and-message-introduction/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Jesus’ Birth (Part 2)</dc:title>
  <dc:creator>Bruno</dc:creator>
  <cp:lastModifiedBy>Bruno</cp:lastModifiedBy>
  <cp:revision>12</cp:revision>
  <dcterms:created xsi:type="dcterms:W3CDTF">2015-01-26T08:05:00Z</dcterms:created>
  <dcterms:modified xsi:type="dcterms:W3CDTF">2015-01-26T08:22:00Z</dcterms:modified>
</cp:coreProperties>
</file>